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439C2">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default" w:ascii="方正小标宋_GBK" w:hAnsi="方正小标宋_GBK" w:eastAsia="方正小标宋_GBK" w:cs="方正小标宋_GBK"/>
          <w:bCs/>
          <w:kern w:val="44"/>
          <w:sz w:val="36"/>
          <w:szCs w:val="32"/>
          <w:shd w:val="clear" w:color="auto" w:fill="FFFFFF"/>
          <w:lang w:val="en-US" w:eastAsia="zh-CN" w:bidi="ar-SA"/>
        </w:rPr>
      </w:pPr>
      <w:r>
        <w:rPr>
          <w:rFonts w:hint="eastAsia" w:ascii="方正小标宋_GBK" w:hAnsi="方正小标宋_GBK" w:eastAsia="方正小标宋_GBK" w:cs="方正小标宋_GBK"/>
          <w:bCs/>
          <w:kern w:val="44"/>
          <w:sz w:val="36"/>
          <w:szCs w:val="32"/>
          <w:shd w:val="clear" w:color="auto" w:fill="FFFFFF"/>
          <w:lang w:val="en-US" w:eastAsia="zh-CN" w:bidi="ar-SA"/>
        </w:rPr>
        <w:t>鄂温克族自治旗巴彦托海镇国土空间详细规划（2025-2035年）草案解读</w:t>
      </w:r>
    </w:p>
    <w:p w14:paraId="7A6C73BD">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一、规划背景</w:t>
      </w:r>
    </w:p>
    <w:p w14:paraId="6CADA6E5">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为深入贯彻党的二十大精神，深化“多规合一”改革，提高国土空间规划、建设、治理水平，落实新发展理念和生态文明体制改革要求，根据《中共中央 国务院关于建立国土空间规划体系并监督实施的若干意见》(中发〔2019〕18号)《自然资源部关于加强国土空间详细规划工作的通知》（自然资发〔2023〕43 号）《内蒙古自治区自然资源厅关于转发自然资源部关于加强国土空间详细规划工作的通知（自然资发〔2023〕43号）》（内自然资字〔2023〕227 号）等文件的要求，结合《内蒙古自治区镇区国土空间详细规划编制规程》《内蒙古自治区国土空间详细规划编制导则》（征求意见稿），鄂温克族自治旗自然资源局、巴彦托海镇人民政府组织编制了《鄂温克族自治旗巴彦托海镇国土空间详细规划（2025-2035年）》（以下简称《规划》）。</w:t>
      </w:r>
    </w:p>
    <w:p w14:paraId="10DCEA38">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该规划以促进巴彦托海镇高质量发展为目标，引导优化城镇空间结构、完善功能配置、提升空间品质、激发发展活力，促进城镇内涵式、集约型、绿色化高质量发展。</w:t>
      </w:r>
    </w:p>
    <w:p w14:paraId="75778DB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 xml:space="preserve">二、规划主要内容 </w:t>
      </w:r>
    </w:p>
    <w:p w14:paraId="3BAAD072">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《规划（草案）》由规划总则、单元层面规划、实施层面规划、实施保障四部分组成。</w:t>
      </w:r>
    </w:p>
    <w:p w14:paraId="00B5D26A">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pPr>
      <w:r>
        <w:rPr>
          <w:rFonts w:hint="eastAsia" w:ascii="仿宋_GB2312" w:hAnsi="仿宋_GB2312" w:eastAsia="仿宋_GB2312" w:cs="仿宋_GB2312"/>
          <w:sz w:val="32"/>
          <w:szCs w:val="30"/>
          <w:lang w:val="en-US" w:eastAsia="zh-CN"/>
        </w:rPr>
        <w:t>（一）第一部分“总则”。贯彻落实旗、镇两级国土空间总体规划的各项要求，推进鄂温克族自治旗巴彦托海镇高质量发展，实现一张蓝图绘到底。</w:t>
      </w:r>
    </w:p>
    <w:p w14:paraId="7AB659CE">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（二）第二部分“单元层面规划”。</w:t>
      </w:r>
    </w:p>
    <w:p w14:paraId="10B5A471">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首先，落实国土空间总体规划</w:t>
      </w:r>
      <w:r>
        <w:rPr>
          <w:rFonts w:hint="default" w:ascii="仿宋_GB2312" w:hAnsi="仿宋_GB2312" w:eastAsia="仿宋_GB2312" w:cs="仿宋_GB2312"/>
          <w:sz w:val="32"/>
          <w:szCs w:val="30"/>
          <w:lang w:val="en-US" w:eastAsia="zh-CN"/>
        </w:rPr>
        <w:t>及相关专项规划的发展目标和传导要求，衔接已有详细规划编制单元划定成果</w:t>
      </w:r>
      <w:r>
        <w:rPr>
          <w:rFonts w:hint="eastAsia" w:ascii="仿宋_GB2312" w:hAnsi="仿宋_GB2312" w:eastAsia="仿宋_GB2312" w:cs="仿宋_GB2312"/>
          <w:sz w:val="32"/>
          <w:szCs w:val="30"/>
          <w:lang w:val="en-US" w:eastAsia="zh-CN"/>
        </w:rPr>
        <w:t>。其次，明确城镇性质与</w:t>
      </w:r>
      <w:r>
        <w:rPr>
          <w:rFonts w:hint="default" w:ascii="仿宋_GB2312" w:hAnsi="仿宋_GB2312" w:eastAsia="仿宋_GB2312" w:cs="仿宋_GB2312"/>
          <w:sz w:val="32"/>
          <w:szCs w:val="30"/>
          <w:lang w:val="en-US" w:eastAsia="zh-CN"/>
        </w:rPr>
        <w:t>功能定位。</w:t>
      </w:r>
      <w:r>
        <w:rPr>
          <w:rFonts w:hint="eastAsia" w:ascii="仿宋_GB2312" w:hAnsi="仿宋_GB2312" w:eastAsia="仿宋_GB2312" w:cs="仿宋_GB2312"/>
          <w:sz w:val="32"/>
          <w:szCs w:val="30"/>
          <w:lang w:val="en-US" w:eastAsia="zh-CN"/>
        </w:rPr>
        <w:t>巴彦托海镇中心城区规划性质为鄂温克族自治旗政治、文化、服务中心，自治旗北部窗口型中心镇。巴彦托海镇中心城区发展定位为承接市级产业转移，以农产品加工制造、农机装备与制造、汽车服务、文化旅游与服务等功能为一体的综合型生态宜居城镇。三是，优化空间结构与用地布局。巴彦托海镇中心城区</w:t>
      </w:r>
      <w:r>
        <w:rPr>
          <w:rFonts w:hint="default" w:ascii="仿宋_GB2312" w:hAnsi="仿宋_GB2312" w:eastAsia="仿宋_GB2312" w:cs="仿宋_GB2312"/>
          <w:sz w:val="32"/>
          <w:szCs w:val="30"/>
          <w:lang w:val="en-US" w:eastAsia="zh-CN"/>
        </w:rPr>
        <w:t>规划形成“一主轴两次轴、两中心三节点”的功能与空间结构。</w:t>
      </w:r>
      <w:bookmarkStart w:id="0" w:name="_GoBack"/>
      <w:bookmarkEnd w:id="0"/>
      <w:r>
        <w:rPr>
          <w:rFonts w:hint="eastAsia" w:ascii="仿宋_GB2312" w:hAnsi="仿宋_GB2312" w:eastAsia="仿宋_GB2312" w:cs="仿宋_GB2312"/>
          <w:sz w:val="32"/>
          <w:szCs w:val="30"/>
          <w:lang w:val="en-US" w:eastAsia="zh-CN"/>
        </w:rPr>
        <w:t>四是，完善公共服务设施、优化交通体系、加强基础设施建设，提升防灾减灾设施。</w:t>
      </w:r>
    </w:p>
    <w:p w14:paraId="34C8ED2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（三）第三部分“实施层面规划”。</w:t>
      </w:r>
    </w:p>
    <w:p w14:paraId="4C969447">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一是</w:t>
      </w:r>
      <w:r>
        <w:rPr>
          <w:rFonts w:hint="default" w:ascii="仿宋_GB2312" w:hAnsi="仿宋_GB2312" w:eastAsia="仿宋_GB2312" w:cs="仿宋_GB2312"/>
          <w:sz w:val="32"/>
          <w:szCs w:val="30"/>
          <w:lang w:val="en-US" w:eastAsia="zh-CN"/>
        </w:rPr>
        <w:t>落实细化单元层面规划的传导内容，优化用地布局</w:t>
      </w:r>
      <w:r>
        <w:rPr>
          <w:rFonts w:hint="eastAsia" w:ascii="仿宋_GB2312" w:hAnsi="仿宋_GB2312" w:eastAsia="仿宋_GB2312" w:cs="仿宋_GB2312"/>
          <w:sz w:val="32"/>
          <w:szCs w:val="30"/>
          <w:lang w:val="en-US" w:eastAsia="zh-CN"/>
        </w:rPr>
        <w:t>，合理确定各地块的控制指标与管控内容</w:t>
      </w:r>
      <w:r>
        <w:rPr>
          <w:rFonts w:hint="default" w:ascii="仿宋_GB2312" w:hAnsi="仿宋_GB2312" w:eastAsia="仿宋_GB2312" w:cs="仿宋_GB2312"/>
          <w:sz w:val="32"/>
          <w:szCs w:val="30"/>
          <w:lang w:val="en-US" w:eastAsia="zh-CN"/>
        </w:rPr>
        <w:t>。</w:t>
      </w:r>
      <w:r>
        <w:rPr>
          <w:rFonts w:hint="eastAsia" w:ascii="仿宋_GB2312" w:hAnsi="仿宋_GB2312" w:eastAsia="仿宋_GB2312" w:cs="仿宋_GB2312"/>
          <w:sz w:val="32"/>
          <w:szCs w:val="30"/>
          <w:lang w:val="en-US" w:eastAsia="zh-CN"/>
        </w:rPr>
        <w:t>二是在满足社区生活圈服务半径要求基础上，优化单元层面规划确定的公共服务设施，基础设施，安全设施等各类配套设施。三是落实单元详细规划中的道路体系，优化城市支路网布局，确定各级道路的断面形式，交叉口形式等。</w:t>
      </w:r>
    </w:p>
    <w:p w14:paraId="12B052C5">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（四）第四部分“实施保障”。</w:t>
      </w:r>
    </w:p>
    <w:p w14:paraId="4C18DD65">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一是加强组织保障，结合行政事权和单元类型，确定实施详细规划的工作机制和工作规程，明确各部门的责任分工。二是完善政策配套，制定详细规划实施所需的配套政策建议。明确地块出让、转让、拆分等规定，容积率奖励和补偿规定，地块优化规定等内容。三是做好监督评估，做好公示公开、主动接受社会监督。建立规划实施动态监测预警，定期开展规划实施评估。依托国土空间基础信息平台和国土空间规划“一张图”系统，加快推进规划编制、审批、实施、监督全程在线数字化管理，提高工作质效。</w:t>
      </w:r>
    </w:p>
    <w:p w14:paraId="3C9F21E9">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default" w:ascii="仿宋_GB2312" w:hAnsi="仿宋_GB2312" w:eastAsia="仿宋_GB2312" w:cs="仿宋_GB2312"/>
          <w:sz w:val="32"/>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A78F2C"/>
    <w:multiLevelType w:val="multilevel"/>
    <w:tmpl w:val="F0A78F2C"/>
    <w:lvl w:ilvl="0" w:tentative="0">
      <w:start w:val="1"/>
      <w:numFmt w:val="chineseCountingThousand"/>
      <w:pStyle w:val="3"/>
      <w:lvlText w:val="第%1节  "/>
      <w:lvlJc w:val="left"/>
      <w:pPr>
        <w:ind w:left="3200" w:hanging="420"/>
      </w:pPr>
      <w:rPr>
        <w:rFonts w:hint="eastAsia"/>
      </w:rPr>
    </w:lvl>
    <w:lvl w:ilvl="1" w:tentative="0">
      <w:start w:val="1"/>
      <w:numFmt w:val="lowerLetter"/>
      <w:lvlText w:val="%2)"/>
      <w:lvlJc w:val="left"/>
      <w:pPr>
        <w:ind w:left="3620" w:hanging="420"/>
      </w:pPr>
      <w:rPr>
        <w:rFonts w:hint="eastAsia"/>
      </w:rPr>
    </w:lvl>
    <w:lvl w:ilvl="2" w:tentative="0">
      <w:start w:val="1"/>
      <w:numFmt w:val="lowerRoman"/>
      <w:lvlText w:val="%3."/>
      <w:lvlJc w:val="right"/>
      <w:pPr>
        <w:ind w:left="4040" w:hanging="420"/>
      </w:pPr>
      <w:rPr>
        <w:rFonts w:hint="eastAsia"/>
      </w:rPr>
    </w:lvl>
    <w:lvl w:ilvl="3" w:tentative="0">
      <w:start w:val="1"/>
      <w:numFmt w:val="decimal"/>
      <w:lvlText w:val="%4."/>
      <w:lvlJc w:val="left"/>
      <w:pPr>
        <w:ind w:left="4460" w:hanging="420"/>
      </w:pPr>
      <w:rPr>
        <w:rFonts w:hint="eastAsia"/>
      </w:rPr>
    </w:lvl>
    <w:lvl w:ilvl="4" w:tentative="0">
      <w:start w:val="1"/>
      <w:numFmt w:val="lowerLetter"/>
      <w:lvlText w:val="%5)"/>
      <w:lvlJc w:val="left"/>
      <w:pPr>
        <w:ind w:left="4880" w:hanging="420"/>
      </w:pPr>
      <w:rPr>
        <w:rFonts w:hint="eastAsia"/>
      </w:rPr>
    </w:lvl>
    <w:lvl w:ilvl="5" w:tentative="0">
      <w:start w:val="1"/>
      <w:numFmt w:val="lowerRoman"/>
      <w:lvlText w:val="%6."/>
      <w:lvlJc w:val="right"/>
      <w:pPr>
        <w:ind w:left="5300" w:hanging="420"/>
      </w:pPr>
      <w:rPr>
        <w:rFonts w:hint="eastAsia"/>
      </w:rPr>
    </w:lvl>
    <w:lvl w:ilvl="6" w:tentative="0">
      <w:start w:val="1"/>
      <w:numFmt w:val="decimal"/>
      <w:lvlText w:val="%7."/>
      <w:lvlJc w:val="left"/>
      <w:pPr>
        <w:ind w:left="5720" w:hanging="420"/>
      </w:pPr>
      <w:rPr>
        <w:rFonts w:hint="eastAsia"/>
      </w:rPr>
    </w:lvl>
    <w:lvl w:ilvl="7" w:tentative="0">
      <w:start w:val="1"/>
      <w:numFmt w:val="lowerLetter"/>
      <w:lvlText w:val="%8)"/>
      <w:lvlJc w:val="left"/>
      <w:pPr>
        <w:ind w:left="6140" w:hanging="420"/>
      </w:pPr>
      <w:rPr>
        <w:rFonts w:hint="eastAsia"/>
      </w:rPr>
    </w:lvl>
    <w:lvl w:ilvl="8" w:tentative="0">
      <w:start w:val="1"/>
      <w:numFmt w:val="lowerRoman"/>
      <w:lvlText w:val="%9."/>
      <w:lvlJc w:val="right"/>
      <w:pPr>
        <w:ind w:left="6560" w:hanging="420"/>
      </w:pPr>
      <w:rPr>
        <w:rFonts w:hint="eastAsia"/>
      </w:rPr>
    </w:lvl>
  </w:abstractNum>
  <w:abstractNum w:abstractNumId="1">
    <w:nsid w:val="4B747002"/>
    <w:multiLevelType w:val="multilevel"/>
    <w:tmpl w:val="4B747002"/>
    <w:lvl w:ilvl="0" w:tentative="0">
      <w:start w:val="1"/>
      <w:numFmt w:val="chineseCountingThousand"/>
      <w:pStyle w:val="2"/>
      <w:lvlText w:val="第%1章  "/>
      <w:lvlJc w:val="left"/>
      <w:pPr>
        <w:ind w:left="5523" w:hanging="420"/>
      </w:pPr>
      <w:rPr>
        <w:rFonts w:hint="eastAsia"/>
      </w:rPr>
    </w:lvl>
    <w:lvl w:ilvl="1" w:tentative="0">
      <w:start w:val="1"/>
      <w:numFmt w:val="japaneseCounting"/>
      <w:lvlText w:val="第%2节"/>
      <w:lvlJc w:val="left"/>
      <w:pPr>
        <w:ind w:left="6663" w:hanging="1140"/>
      </w:pPr>
      <w:rPr>
        <w:rFonts w:hint="eastAsia"/>
      </w:rPr>
    </w:lvl>
    <w:lvl w:ilvl="2" w:tentative="0">
      <w:start w:val="1"/>
      <w:numFmt w:val="lowerRoman"/>
      <w:lvlText w:val="%3."/>
      <w:lvlJc w:val="right"/>
      <w:pPr>
        <w:ind w:left="6363" w:hanging="420"/>
      </w:pPr>
      <w:rPr>
        <w:rFonts w:hint="eastAsia"/>
      </w:rPr>
    </w:lvl>
    <w:lvl w:ilvl="3" w:tentative="0">
      <w:start w:val="1"/>
      <w:numFmt w:val="decimal"/>
      <w:lvlText w:val="%4."/>
      <w:lvlJc w:val="left"/>
      <w:pPr>
        <w:ind w:left="6783" w:hanging="420"/>
      </w:pPr>
      <w:rPr>
        <w:rFonts w:hint="eastAsia"/>
      </w:rPr>
    </w:lvl>
    <w:lvl w:ilvl="4" w:tentative="0">
      <w:start w:val="1"/>
      <w:numFmt w:val="lowerLetter"/>
      <w:lvlText w:val="%5)"/>
      <w:lvlJc w:val="left"/>
      <w:pPr>
        <w:ind w:left="7203" w:hanging="420"/>
      </w:pPr>
      <w:rPr>
        <w:rFonts w:hint="eastAsia"/>
      </w:rPr>
    </w:lvl>
    <w:lvl w:ilvl="5" w:tentative="0">
      <w:start w:val="1"/>
      <w:numFmt w:val="lowerRoman"/>
      <w:lvlText w:val="%6."/>
      <w:lvlJc w:val="right"/>
      <w:pPr>
        <w:ind w:left="7623" w:hanging="420"/>
      </w:pPr>
      <w:rPr>
        <w:rFonts w:hint="eastAsia"/>
      </w:rPr>
    </w:lvl>
    <w:lvl w:ilvl="6" w:tentative="0">
      <w:start w:val="1"/>
      <w:numFmt w:val="decimal"/>
      <w:lvlText w:val="%7."/>
      <w:lvlJc w:val="left"/>
      <w:pPr>
        <w:ind w:left="8043" w:hanging="420"/>
      </w:pPr>
      <w:rPr>
        <w:rFonts w:hint="eastAsia"/>
      </w:rPr>
    </w:lvl>
    <w:lvl w:ilvl="7" w:tentative="0">
      <w:start w:val="1"/>
      <w:numFmt w:val="lowerLetter"/>
      <w:lvlText w:val="%8)"/>
      <w:lvlJc w:val="left"/>
      <w:pPr>
        <w:ind w:left="8463" w:hanging="420"/>
      </w:pPr>
      <w:rPr>
        <w:rFonts w:hint="eastAsia"/>
      </w:rPr>
    </w:lvl>
    <w:lvl w:ilvl="8" w:tentative="0">
      <w:start w:val="1"/>
      <w:numFmt w:val="lowerRoman"/>
      <w:lvlText w:val="%9."/>
      <w:lvlJc w:val="right"/>
      <w:pPr>
        <w:ind w:left="8883"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4D4FA3"/>
    <w:rsid w:val="31F05889"/>
    <w:rsid w:val="35887073"/>
    <w:rsid w:val="44BC6AA8"/>
    <w:rsid w:val="568D1A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ind w:left="0" w:firstLine="0" w:firstLineChars="0"/>
      <w:jc w:val="center"/>
      <w:outlineLvl w:val="0"/>
    </w:pPr>
    <w:rPr>
      <w:rFonts w:ascii="黑体" w:hAnsi="黑体" w:eastAsia="方正小标宋_GBK" w:cs="黑体"/>
      <w:bCs/>
      <w:kern w:val="44"/>
      <w:sz w:val="36"/>
      <w:szCs w:val="32"/>
      <w:shd w:val="clear" w:color="auto" w:fill="FFFFFF"/>
    </w:rPr>
  </w:style>
  <w:style w:type="paragraph" w:styleId="3">
    <w:name w:val="heading 2"/>
    <w:basedOn w:val="1"/>
    <w:next w:val="1"/>
    <w:unhideWhenUsed/>
    <w:qFormat/>
    <w:uiPriority w:val="0"/>
    <w:pPr>
      <w:keepNext/>
      <w:keepLines/>
      <w:numPr>
        <w:ilvl w:val="0"/>
        <w:numId w:val="2"/>
      </w:numPr>
      <w:adjustRightInd w:val="0"/>
      <w:ind w:left="0" w:firstLine="0" w:firstLineChars="0"/>
      <w:jc w:val="center"/>
      <w:outlineLvl w:val="1"/>
    </w:pPr>
    <w:rPr>
      <w:rFonts w:ascii="Times New Roman" w:hAnsi="Times New Roman" w:eastAsia="黑体" w:cs="Times New Roman"/>
      <w:bCs/>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1222</Words>
  <Characters>1255</Characters>
  <Lines>0</Lines>
  <Paragraphs>0</Paragraphs>
  <TotalTime>4</TotalTime>
  <ScaleCrop>false</ScaleCrop>
  <LinksUpToDate>false</LinksUpToDate>
  <CharactersWithSpaces>1260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2025-10-29T14:21:00Z</dcterms:created>
  <dc:creator>Dell</dc:creator>
  <cp:lastModifiedBy>雪儿</cp:lastModifiedBy>
  <dcterms:modified xsi:type="dcterms:W3CDTF">2025-10-30T15:18:01Z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eyJoZGlkIjoiMDkwMDM3MDRhMGQ0NGZiZDNhYmZhODZiYTNiMGY0OTAiLCJ1c2VySWQiOiIzMjk0NDk5ODMifQ==</vt:lpwstr>
  </property>
  <property fmtid="{D5CDD505-2E9C-101B-9397-08002B2CF9AE}" pid="4" name="ICV">
    <vt:lpwstr>842E8DD05C694DE58C09BB5BE95E4168_12</vt:lpwstr>
  </property>
</Properties>
</file>