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1D7D34">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eastAsia" w:ascii="方正小标宋_GBK" w:hAnsi="方正小标宋_GBK" w:eastAsia="方正小标宋_GBK" w:cs="方正小标宋_GBK"/>
          <w:bCs/>
          <w:kern w:val="44"/>
          <w:sz w:val="36"/>
          <w:szCs w:val="32"/>
          <w:shd w:val="clear" w:color="auto" w:fill="FFFFFF"/>
          <w:lang w:val="en-US" w:eastAsia="zh-CN" w:bidi="ar-SA"/>
        </w:rPr>
      </w:pPr>
      <w:r>
        <w:rPr>
          <w:rFonts w:hint="eastAsia" w:ascii="方正小标宋_GBK" w:hAnsi="方正小标宋_GBK" w:eastAsia="方正小标宋_GBK" w:cs="方正小标宋_GBK"/>
          <w:bCs/>
          <w:kern w:val="44"/>
          <w:sz w:val="36"/>
          <w:szCs w:val="32"/>
          <w:shd w:val="clear" w:color="auto" w:fill="FFFFFF"/>
          <w:lang w:val="en-US" w:eastAsia="zh-CN" w:bidi="ar-SA"/>
        </w:rPr>
        <w:t>鄂温克族自治旗大雁镇国土空间详细规划</w:t>
      </w:r>
    </w:p>
    <w:p w14:paraId="0D0439C2">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default" w:ascii="方正小标宋_GBK" w:hAnsi="方正小标宋_GBK" w:eastAsia="方正小标宋_GBK" w:cs="方正小标宋_GBK"/>
          <w:bCs/>
          <w:kern w:val="44"/>
          <w:sz w:val="36"/>
          <w:szCs w:val="32"/>
          <w:shd w:val="clear" w:color="auto" w:fill="FFFFFF"/>
          <w:lang w:val="en-US" w:eastAsia="zh-CN" w:bidi="ar-SA"/>
        </w:rPr>
      </w:pPr>
      <w:r>
        <w:rPr>
          <w:rFonts w:hint="eastAsia" w:ascii="方正小标宋_GBK" w:hAnsi="方正小标宋_GBK" w:eastAsia="方正小标宋_GBK" w:cs="方正小标宋_GBK"/>
          <w:bCs/>
          <w:kern w:val="44"/>
          <w:sz w:val="36"/>
          <w:szCs w:val="32"/>
          <w:shd w:val="clear" w:color="auto" w:fill="FFFFFF"/>
          <w:lang w:val="en-US" w:eastAsia="zh-CN" w:bidi="ar-SA"/>
        </w:rPr>
        <w:t>（2025-2035年）草案解读</w:t>
      </w:r>
    </w:p>
    <w:p w14:paraId="7A6C73BD">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一、规划背景</w:t>
      </w:r>
    </w:p>
    <w:p w14:paraId="6CADA6E5">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为深入贯彻党的二十大精神，深化“多规合一”改革，进一步完善“五级三类国土空间规划体系，有效传导落实国土空间总体规划要求，根据《中共中央 国务院关于建立国土空间规划体系并监督实施的若干意见》(中发〔2019〕18号)《自然资源部关于加强国土空间详细规划工作的通知》（自然资发〔2023〕43 号）《内蒙古自治区自然资源厅关于转发自然资源部关于加强国土空间详细规划工作的通知（自然资发〔2023〕43号）》（内自然资字〔2023〕227 号）等文件的要求，大雁镇人民政府组织编制了《鄂温克族自治旗大雁镇国土空间详细规划（2025-2035年）》（以下简称《规划》）。</w:t>
      </w:r>
    </w:p>
    <w:p w14:paraId="057FA106">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该规划是鄂温克族自治旗大雁镇的法定空间发展蓝图，是各类开发保护建设活动的基本依据。</w:t>
      </w:r>
    </w:p>
    <w:p w14:paraId="75778DBB">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 xml:space="preserve">二、规划主要内容 </w:t>
      </w:r>
    </w:p>
    <w:p w14:paraId="222D00BF">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《规划（草案）》由规划总则、单元层面规划、实施层面规划、实施保障四部分组成。</w:t>
      </w:r>
    </w:p>
    <w:p w14:paraId="00B5D26A">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pPr>
      <w:r>
        <w:rPr>
          <w:rFonts w:hint="eastAsia" w:ascii="仿宋_GB2312" w:hAnsi="仿宋_GB2312" w:eastAsia="仿宋_GB2312" w:cs="仿宋_GB2312"/>
          <w:sz w:val="32"/>
          <w:szCs w:val="30"/>
          <w:lang w:val="en-US" w:eastAsia="zh-CN"/>
        </w:rPr>
        <w:t>（一）第一部分“总则”。贯彻落实旗、镇两级国土空间总体规划的各项要求，推进鄂温克族自治旗大雁镇高质量发展，实现一张蓝图绘到底。</w:t>
      </w:r>
    </w:p>
    <w:p w14:paraId="7AB659CE">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（二）第二部分“单元层面规划”。</w:t>
      </w:r>
    </w:p>
    <w:p w14:paraId="2B30B362">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一是落实国土空间总体规划</w:t>
      </w:r>
      <w:r>
        <w:rPr>
          <w:rFonts w:hint="default" w:ascii="仿宋_GB2312" w:hAnsi="仿宋_GB2312" w:eastAsia="仿宋_GB2312" w:cs="仿宋_GB2312"/>
          <w:sz w:val="32"/>
          <w:szCs w:val="30"/>
          <w:lang w:val="en-US" w:eastAsia="zh-CN"/>
        </w:rPr>
        <w:t>的发展目标和传导要求</w:t>
      </w:r>
      <w:r>
        <w:rPr>
          <w:rFonts w:hint="eastAsia" w:ascii="仿宋_GB2312" w:hAnsi="仿宋_GB2312" w:eastAsia="仿宋_GB2312" w:cs="仿宋_GB2312"/>
          <w:sz w:val="32"/>
          <w:szCs w:val="30"/>
          <w:lang w:val="en-US" w:eastAsia="zh-CN"/>
        </w:rPr>
        <w:t>，确定单元层面落实的底线约束、规划指标、功能布局、设施配置等内容。</w:t>
      </w:r>
    </w:p>
    <w:p w14:paraId="0D1834C3">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二是根据区位条件、建设现状、资源禀赋等特征，明确城镇性质与</w:t>
      </w:r>
      <w:r>
        <w:rPr>
          <w:rFonts w:hint="default" w:ascii="仿宋_GB2312" w:hAnsi="仿宋_GB2312" w:eastAsia="仿宋_GB2312" w:cs="仿宋_GB2312"/>
          <w:sz w:val="32"/>
          <w:szCs w:val="30"/>
          <w:lang w:val="en-US" w:eastAsia="zh-CN"/>
        </w:rPr>
        <w:t>功能定位</w:t>
      </w:r>
      <w:r>
        <w:rPr>
          <w:rFonts w:hint="eastAsia" w:ascii="仿宋_GB2312" w:hAnsi="仿宋_GB2312" w:eastAsia="仿宋_GB2312" w:cs="仿宋_GB2312"/>
          <w:sz w:val="32"/>
          <w:szCs w:val="30"/>
          <w:lang w:val="en-US" w:eastAsia="zh-CN"/>
        </w:rPr>
        <w:t>。</w:t>
      </w:r>
    </w:p>
    <w:p w14:paraId="07905399">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default"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三是确定镇区空间结构，</w:t>
      </w:r>
      <w:r>
        <w:rPr>
          <w:rFonts w:hint="default" w:ascii="仿宋_GB2312" w:hAnsi="仿宋_GB2312" w:eastAsia="仿宋_GB2312" w:cs="仿宋_GB2312"/>
          <w:sz w:val="32"/>
          <w:szCs w:val="30"/>
          <w:lang w:val="en-US" w:eastAsia="zh-CN"/>
        </w:rPr>
        <w:t>形成“一主轴三辅轴，一中心三节点” 的空间结构</w:t>
      </w:r>
      <w:r>
        <w:rPr>
          <w:rFonts w:hint="eastAsia" w:ascii="仿宋_GB2312" w:hAnsi="仿宋_GB2312" w:eastAsia="仿宋_GB2312" w:cs="仿宋_GB2312"/>
          <w:sz w:val="32"/>
          <w:szCs w:val="30"/>
          <w:lang w:val="en-US" w:eastAsia="zh-CN"/>
        </w:rPr>
        <w:t>，优化用地布局方案</w:t>
      </w:r>
      <w:r>
        <w:rPr>
          <w:rFonts w:hint="default" w:ascii="仿宋_GB2312" w:hAnsi="仿宋_GB2312" w:eastAsia="仿宋_GB2312" w:cs="仿宋_GB2312"/>
          <w:sz w:val="32"/>
          <w:szCs w:val="30"/>
          <w:lang w:val="en-US" w:eastAsia="zh-CN"/>
        </w:rPr>
        <w:t>。</w:t>
      </w:r>
    </w:p>
    <w:p w14:paraId="45AA5C92">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四是完善镇区建设，构建社区生活圈，配置各级公共服务设施；合理布局道路网络与交通设施；明确市政设施建设要求；落实和提升防灾减灾设施。</w:t>
      </w:r>
    </w:p>
    <w:p w14:paraId="4CDCE350">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五是明确城市设计目标，确定天际线、景观视廊、重要公共空间等管控内容。</w:t>
      </w:r>
    </w:p>
    <w:p w14:paraId="34C8ED2D">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（三）第三部分“实施层面规划”。</w:t>
      </w:r>
    </w:p>
    <w:p w14:paraId="4C969447">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一是确定各地块的控制指标与管控内容</w:t>
      </w:r>
      <w:r>
        <w:rPr>
          <w:rFonts w:hint="default" w:ascii="仿宋_GB2312" w:hAnsi="仿宋_GB2312" w:eastAsia="仿宋_GB2312" w:cs="仿宋_GB2312"/>
          <w:sz w:val="32"/>
          <w:szCs w:val="30"/>
          <w:lang w:val="en-US" w:eastAsia="zh-CN"/>
        </w:rPr>
        <w:t>。</w:t>
      </w:r>
      <w:r>
        <w:rPr>
          <w:rFonts w:hint="eastAsia" w:ascii="仿宋_GB2312" w:hAnsi="仿宋_GB2312" w:eastAsia="仿宋_GB2312" w:cs="仿宋_GB2312"/>
          <w:sz w:val="32"/>
          <w:szCs w:val="30"/>
          <w:lang w:val="en-US" w:eastAsia="zh-CN"/>
        </w:rPr>
        <w:t>二是确定的公共服务设施、基础设施、安全设施建设要求。三是优化道路交通管控要求。</w:t>
      </w:r>
    </w:p>
    <w:p w14:paraId="12B052C5">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（四）第四部分“实施保障”。</w:t>
      </w:r>
    </w:p>
    <w:p w14:paraId="111B1DDC">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sz w:val="32"/>
          <w:szCs w:val="30"/>
          <w:lang w:val="en-US" w:eastAsia="zh-CN"/>
        </w:rPr>
      </w:pPr>
      <w:r>
        <w:rPr>
          <w:rFonts w:hint="eastAsia" w:ascii="仿宋_GB2312" w:hAnsi="仿宋_GB2312" w:eastAsia="仿宋_GB2312" w:cs="仿宋_GB2312"/>
          <w:sz w:val="32"/>
          <w:szCs w:val="30"/>
          <w:lang w:val="en-US" w:eastAsia="zh-CN"/>
        </w:rPr>
        <w:t>一是加强组织保障，二是制定实施计划，三是完善政策配套，四是做好监督评估。</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UI Emoji">
    <w:panose1 w:val="020B0502040204020203"/>
    <w:charset w:val="00"/>
    <w:family w:val="auto"/>
    <w:pitch w:val="default"/>
    <w:sig w:usb0="00000001" w:usb1="02000000" w:usb2="08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3000509000000000000"/>
    <w:charset w:val="86"/>
    <w:family w:val="script"/>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A78F2C"/>
    <w:multiLevelType w:val="multilevel"/>
    <w:tmpl w:val="F0A78F2C"/>
    <w:lvl w:ilvl="0" w:tentative="0">
      <w:start w:val="1"/>
      <w:numFmt w:val="chineseCountingThousand"/>
      <w:pStyle w:val="3"/>
      <w:lvlText w:val="第%1节  "/>
      <w:lvlJc w:val="left"/>
      <w:pPr>
        <w:ind w:left="3200" w:hanging="420"/>
      </w:pPr>
      <w:rPr>
        <w:rFonts w:hint="eastAsia"/>
      </w:rPr>
    </w:lvl>
    <w:lvl w:ilvl="1" w:tentative="0">
      <w:start w:val="1"/>
      <w:numFmt w:val="lowerLetter"/>
      <w:lvlText w:val="%2)"/>
      <w:lvlJc w:val="left"/>
      <w:pPr>
        <w:ind w:left="3620" w:hanging="420"/>
      </w:pPr>
      <w:rPr>
        <w:rFonts w:hint="eastAsia"/>
      </w:rPr>
    </w:lvl>
    <w:lvl w:ilvl="2" w:tentative="0">
      <w:start w:val="1"/>
      <w:numFmt w:val="lowerRoman"/>
      <w:lvlText w:val="%3."/>
      <w:lvlJc w:val="right"/>
      <w:pPr>
        <w:ind w:left="4040" w:hanging="420"/>
      </w:pPr>
      <w:rPr>
        <w:rFonts w:hint="eastAsia"/>
      </w:rPr>
    </w:lvl>
    <w:lvl w:ilvl="3" w:tentative="0">
      <w:start w:val="1"/>
      <w:numFmt w:val="decimal"/>
      <w:lvlText w:val="%4."/>
      <w:lvlJc w:val="left"/>
      <w:pPr>
        <w:ind w:left="4460" w:hanging="420"/>
      </w:pPr>
      <w:rPr>
        <w:rFonts w:hint="eastAsia"/>
      </w:rPr>
    </w:lvl>
    <w:lvl w:ilvl="4" w:tentative="0">
      <w:start w:val="1"/>
      <w:numFmt w:val="lowerLetter"/>
      <w:lvlText w:val="%5)"/>
      <w:lvlJc w:val="left"/>
      <w:pPr>
        <w:ind w:left="4880" w:hanging="420"/>
      </w:pPr>
      <w:rPr>
        <w:rFonts w:hint="eastAsia"/>
      </w:rPr>
    </w:lvl>
    <w:lvl w:ilvl="5" w:tentative="0">
      <w:start w:val="1"/>
      <w:numFmt w:val="lowerRoman"/>
      <w:lvlText w:val="%6."/>
      <w:lvlJc w:val="right"/>
      <w:pPr>
        <w:ind w:left="5300" w:hanging="420"/>
      </w:pPr>
      <w:rPr>
        <w:rFonts w:hint="eastAsia"/>
      </w:rPr>
    </w:lvl>
    <w:lvl w:ilvl="6" w:tentative="0">
      <w:start w:val="1"/>
      <w:numFmt w:val="decimal"/>
      <w:lvlText w:val="%7."/>
      <w:lvlJc w:val="left"/>
      <w:pPr>
        <w:ind w:left="5720" w:hanging="420"/>
      </w:pPr>
      <w:rPr>
        <w:rFonts w:hint="eastAsia"/>
      </w:rPr>
    </w:lvl>
    <w:lvl w:ilvl="7" w:tentative="0">
      <w:start w:val="1"/>
      <w:numFmt w:val="lowerLetter"/>
      <w:lvlText w:val="%8)"/>
      <w:lvlJc w:val="left"/>
      <w:pPr>
        <w:ind w:left="6140" w:hanging="420"/>
      </w:pPr>
      <w:rPr>
        <w:rFonts w:hint="eastAsia"/>
      </w:rPr>
    </w:lvl>
    <w:lvl w:ilvl="8" w:tentative="0">
      <w:start w:val="1"/>
      <w:numFmt w:val="lowerRoman"/>
      <w:lvlText w:val="%9."/>
      <w:lvlJc w:val="right"/>
      <w:pPr>
        <w:ind w:left="6560" w:hanging="420"/>
      </w:pPr>
      <w:rPr>
        <w:rFonts w:hint="eastAsia"/>
      </w:rPr>
    </w:lvl>
  </w:abstractNum>
  <w:abstractNum w:abstractNumId="1">
    <w:nsid w:val="4B747002"/>
    <w:multiLevelType w:val="multilevel"/>
    <w:tmpl w:val="4B747002"/>
    <w:lvl w:ilvl="0" w:tentative="0">
      <w:start w:val="1"/>
      <w:numFmt w:val="chineseCountingThousand"/>
      <w:pStyle w:val="2"/>
      <w:lvlText w:val="第%1章  "/>
      <w:lvlJc w:val="left"/>
      <w:pPr>
        <w:ind w:left="5523" w:hanging="420"/>
      </w:pPr>
      <w:rPr>
        <w:rFonts w:hint="eastAsia"/>
      </w:rPr>
    </w:lvl>
    <w:lvl w:ilvl="1" w:tentative="0">
      <w:start w:val="1"/>
      <w:numFmt w:val="japaneseCounting"/>
      <w:lvlText w:val="第%2节"/>
      <w:lvlJc w:val="left"/>
      <w:pPr>
        <w:ind w:left="6663" w:hanging="1140"/>
      </w:pPr>
      <w:rPr>
        <w:rFonts w:hint="eastAsia"/>
      </w:rPr>
    </w:lvl>
    <w:lvl w:ilvl="2" w:tentative="0">
      <w:start w:val="1"/>
      <w:numFmt w:val="lowerRoman"/>
      <w:lvlText w:val="%3."/>
      <w:lvlJc w:val="right"/>
      <w:pPr>
        <w:ind w:left="6363" w:hanging="420"/>
      </w:pPr>
      <w:rPr>
        <w:rFonts w:hint="eastAsia"/>
      </w:rPr>
    </w:lvl>
    <w:lvl w:ilvl="3" w:tentative="0">
      <w:start w:val="1"/>
      <w:numFmt w:val="decimal"/>
      <w:lvlText w:val="%4."/>
      <w:lvlJc w:val="left"/>
      <w:pPr>
        <w:ind w:left="6783" w:hanging="420"/>
      </w:pPr>
      <w:rPr>
        <w:rFonts w:hint="eastAsia"/>
      </w:rPr>
    </w:lvl>
    <w:lvl w:ilvl="4" w:tentative="0">
      <w:start w:val="1"/>
      <w:numFmt w:val="lowerLetter"/>
      <w:lvlText w:val="%5)"/>
      <w:lvlJc w:val="left"/>
      <w:pPr>
        <w:ind w:left="7203" w:hanging="420"/>
      </w:pPr>
      <w:rPr>
        <w:rFonts w:hint="eastAsia"/>
      </w:rPr>
    </w:lvl>
    <w:lvl w:ilvl="5" w:tentative="0">
      <w:start w:val="1"/>
      <w:numFmt w:val="lowerRoman"/>
      <w:lvlText w:val="%6."/>
      <w:lvlJc w:val="right"/>
      <w:pPr>
        <w:ind w:left="7623" w:hanging="420"/>
      </w:pPr>
      <w:rPr>
        <w:rFonts w:hint="eastAsia"/>
      </w:rPr>
    </w:lvl>
    <w:lvl w:ilvl="6" w:tentative="0">
      <w:start w:val="1"/>
      <w:numFmt w:val="decimal"/>
      <w:lvlText w:val="%7."/>
      <w:lvlJc w:val="left"/>
      <w:pPr>
        <w:ind w:left="8043" w:hanging="420"/>
      </w:pPr>
      <w:rPr>
        <w:rFonts w:hint="eastAsia"/>
      </w:rPr>
    </w:lvl>
    <w:lvl w:ilvl="7" w:tentative="0">
      <w:start w:val="1"/>
      <w:numFmt w:val="lowerLetter"/>
      <w:lvlText w:val="%8)"/>
      <w:lvlJc w:val="left"/>
      <w:pPr>
        <w:ind w:left="8463" w:hanging="420"/>
      </w:pPr>
      <w:rPr>
        <w:rFonts w:hint="eastAsia"/>
      </w:rPr>
    </w:lvl>
    <w:lvl w:ilvl="8" w:tentative="0">
      <w:start w:val="1"/>
      <w:numFmt w:val="lowerRoman"/>
      <w:lvlText w:val="%9."/>
      <w:lvlJc w:val="right"/>
      <w:pPr>
        <w:ind w:left="8883" w:hanging="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F86ED9"/>
    <w:rsid w:val="1F170C05"/>
    <w:rsid w:val="2D2134C2"/>
    <w:rsid w:val="40E26B19"/>
    <w:rsid w:val="49856A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adjustRightInd w:val="0"/>
      <w:ind w:left="0" w:firstLine="0" w:firstLineChars="0"/>
      <w:jc w:val="center"/>
      <w:outlineLvl w:val="0"/>
    </w:pPr>
    <w:rPr>
      <w:rFonts w:ascii="黑体" w:hAnsi="黑体" w:eastAsia="方正小标宋_GBK" w:cs="黑体"/>
      <w:bCs/>
      <w:kern w:val="44"/>
      <w:sz w:val="36"/>
      <w:szCs w:val="32"/>
      <w:shd w:val="clear" w:color="auto" w:fill="FFFFFF"/>
    </w:rPr>
  </w:style>
  <w:style w:type="paragraph" w:styleId="3">
    <w:name w:val="heading 2"/>
    <w:basedOn w:val="1"/>
    <w:next w:val="1"/>
    <w:unhideWhenUsed/>
    <w:qFormat/>
    <w:uiPriority w:val="0"/>
    <w:pPr>
      <w:keepNext/>
      <w:keepLines/>
      <w:numPr>
        <w:ilvl w:val="0"/>
        <w:numId w:val="2"/>
      </w:numPr>
      <w:adjustRightInd w:val="0"/>
      <w:ind w:left="0" w:firstLine="0" w:firstLineChars="0"/>
      <w:jc w:val="center"/>
      <w:outlineLvl w:val="1"/>
    </w:pPr>
    <w:rPr>
      <w:rFonts w:ascii="Times New Roman" w:hAnsi="Times New Roman" w:eastAsia="黑体" w:cs="Times New Roman"/>
      <w:bCs/>
      <w:szCs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7">
    <w:name w:val="正文1"/>
    <w:basedOn w:val="1"/>
    <w:qFormat/>
    <w:uiPriority w:val="0"/>
    <w:pPr>
      <w:spacing w:before="0" w:beforeLines="0" w:line="600" w:lineRule="exact"/>
    </w:pPr>
    <w:rPr>
      <w:rFonts w:eastAsia="仿宋_GB2312"/>
      <w:sz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896</Words>
  <Characters>940</Characters>
  <Lines>0</Lines>
  <Paragraphs>0</Paragraphs>
  <TotalTime>3</TotalTime>
  <ScaleCrop>false</ScaleCrop>
  <LinksUpToDate>false</LinksUpToDate>
  <CharactersWithSpaces>947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2025-10-29T12:37:00Z</dcterms:created>
  <dc:creator>Dell</dc:creator>
  <cp:lastModifiedBy>雪儿</cp:lastModifiedBy>
  <dcterms:modified xsi:type="dcterms:W3CDTF">2025-10-30T15:17:58Z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eyJoZGlkIjoiMDkwMDM3MDRhMGQ0NGZiZDNhYmZhODZiYTNiMGY0OTAiLCJ1c2VySWQiOiIzMjk0NDk5ODMifQ==</vt:lpwstr>
  </property>
  <property fmtid="{D5CDD505-2E9C-101B-9397-08002B2CF9AE}" pid="4" name="ICV">
    <vt:lpwstr>4757F4DC036E4620A03FFAA967B04981_12</vt:lpwstr>
  </property>
</Properties>
</file>