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0536A8">
      <w:pPr>
        <w:ind w:left="0" w:leftChars="0" w:firstLine="0" w:firstLineChars="0"/>
        <w:jc w:val="center"/>
        <w:rPr>
          <w:rFonts w:hint="eastAsia" w:ascii="黑体" w:hAnsi="黑体" w:eastAsia="黑体" w:cs="黑体"/>
          <w:b/>
          <w:bCs/>
          <w:kern w:val="44"/>
          <w:sz w:val="36"/>
          <w:szCs w:val="48"/>
          <w:lang w:val="en-US" w:eastAsia="zh-CN" w:bidi="ar-SA"/>
        </w:rPr>
      </w:pPr>
      <w:r>
        <w:rPr>
          <w:rFonts w:hint="eastAsia" w:ascii="黑体" w:hAnsi="黑体" w:eastAsia="黑体" w:cs="黑体"/>
          <w:b/>
          <w:bCs/>
          <w:kern w:val="44"/>
          <w:sz w:val="36"/>
          <w:szCs w:val="48"/>
          <w:lang w:val="en-US" w:eastAsia="zh-CN" w:bidi="ar-SA"/>
        </w:rPr>
        <w:t>关于《鄂温克族自治旗红花尔基镇国土空间详细规划(2025-2035年)》(草案)的解读</w:t>
      </w:r>
    </w:p>
    <w:p w14:paraId="1E3C85E9">
      <w:pPr>
        <w:pStyle w:val="3"/>
        <w:numPr>
          <w:ilvl w:val="0"/>
          <w:numId w:val="0"/>
        </w:numPr>
        <w:bidi w:val="0"/>
        <w:ind w:leftChars="200"/>
        <w:rPr>
          <w:rFonts w:hint="default" w:ascii="Times New Roman" w:hAnsi="Times New Roman" w:cs="Times New Roman"/>
          <w:lang w:val="en-US" w:eastAsia="zh-CN"/>
        </w:rPr>
      </w:pPr>
    </w:p>
    <w:p w14:paraId="1C987BAF">
      <w:pPr>
        <w:pStyle w:val="3"/>
        <w:numPr>
          <w:ilvl w:val="0"/>
          <w:numId w:val="0"/>
        </w:numPr>
        <w:bidi w:val="0"/>
        <w:ind w:leftChars="200"/>
        <w:rPr>
          <w:rFonts w:hint="default" w:ascii="Times New Roman" w:hAnsi="Times New Roman" w:cs="Times New Roman"/>
        </w:rPr>
      </w:pPr>
      <w:r>
        <w:rPr>
          <w:rFonts w:hint="default" w:ascii="Times New Roman" w:hAnsi="Times New Roman" w:cs="Times New Roman"/>
          <w:lang w:val="en-US" w:eastAsia="zh-CN"/>
        </w:rPr>
        <w:t>一、</w:t>
      </w:r>
      <w:r>
        <w:rPr>
          <w:rFonts w:hint="eastAsia" w:ascii="Times New Roman" w:hAnsi="Times New Roman" w:cs="Times New Roman"/>
          <w:lang w:val="en-US" w:eastAsia="zh-CN"/>
        </w:rPr>
        <w:t>编制背景</w:t>
      </w:r>
    </w:p>
    <w:p w14:paraId="6F6CCE43">
      <w:pPr>
        <w:rPr>
          <w:rFonts w:hint="default" w:ascii="Times New Roman" w:hAnsi="Times New Roman" w:cs="Times New Roman"/>
        </w:rPr>
      </w:pPr>
      <w:r>
        <w:rPr>
          <w:rFonts w:hint="default" w:ascii="Times New Roman" w:hAnsi="Times New Roman" w:cs="Times New Roman"/>
        </w:rPr>
        <w:t>为贯彻落实国家关于建立国土空间规划体系的重大决策部署，依据《鄂温克族自治旗红花尔基镇国土空间规划（2021-2035年）》的指导要求，鄂温克族自治旗红花尔基镇人民政府和旗自然资源局组织编制了《鄂温克族自治旗红花尔基镇国土空间详细规划（2025-2035年）》（草案）</w:t>
      </w:r>
      <w:r>
        <w:rPr>
          <w:rFonts w:hint="eastAsia" w:cs="Times New Roman"/>
          <w:lang w:eastAsia="zh-CN"/>
        </w:rPr>
        <w:t>，</w:t>
      </w:r>
      <w:r>
        <w:rPr>
          <w:rFonts w:hint="default" w:ascii="Times New Roman" w:hAnsi="Times New Roman" w:cs="Times New Roman"/>
        </w:rPr>
        <w:t>作为城镇开发边界内实施国土空间用途管制和核发建设项目规划许可的法定依据。</w:t>
      </w:r>
    </w:p>
    <w:p w14:paraId="3DE32008">
      <w:pPr>
        <w:pStyle w:val="3"/>
        <w:numPr>
          <w:ilvl w:val="0"/>
          <w:numId w:val="0"/>
        </w:numPr>
        <w:bidi w:val="0"/>
        <w:ind w:leftChars="200"/>
        <w:rPr>
          <w:rFonts w:hint="default" w:ascii="Times New Roman" w:hAnsi="Times New Roman" w:cs="Times New Roman"/>
        </w:rPr>
      </w:pPr>
      <w:r>
        <w:rPr>
          <w:rFonts w:hint="eastAsia" w:ascii="Times New Roman" w:hAnsi="Times New Roman" w:cs="Times New Roman"/>
          <w:lang w:val="en-US" w:eastAsia="zh-CN"/>
        </w:rPr>
        <w:t>二</w:t>
      </w:r>
      <w:r>
        <w:rPr>
          <w:rFonts w:hint="default" w:ascii="Times New Roman" w:hAnsi="Times New Roman" w:cs="Times New Roman"/>
          <w:lang w:val="en-US" w:eastAsia="zh-CN"/>
        </w:rPr>
        <w:t>、</w:t>
      </w:r>
      <w:r>
        <w:rPr>
          <w:rFonts w:hint="eastAsia" w:ascii="Times New Roman" w:hAnsi="Times New Roman" w:cs="Times New Roman"/>
          <w:lang w:val="en-US" w:eastAsia="zh-CN"/>
        </w:rPr>
        <w:t>主要内容</w:t>
      </w:r>
    </w:p>
    <w:p w14:paraId="76DD18DE">
      <w:pPr>
        <w:pageBreakBefore w:val="0"/>
        <w:widowControl w:val="0"/>
        <w:kinsoku/>
        <w:wordWrap/>
        <w:overflowPunct/>
        <w:topLinePunct w:val="0"/>
        <w:autoSpaceDE/>
        <w:autoSpaceDN/>
        <w:bidi w:val="0"/>
        <w:snapToGrid/>
        <w:ind w:leftChars="0"/>
        <w:textAlignment w:val="auto"/>
        <w:rPr>
          <w:rFonts w:hint="eastAsia" w:ascii="Times New Roman" w:hAnsi="Times New Roman" w:eastAsia="宋体" w:cs="Times New Roman"/>
          <w:lang w:eastAsia="zh-CN"/>
        </w:rPr>
      </w:pPr>
      <w:r>
        <w:rPr>
          <w:rFonts w:hint="default" w:ascii="Times New Roman" w:hAnsi="Times New Roman" w:cs="Times New Roman"/>
        </w:rPr>
        <w:t>（一）发展定位：充分利用红花尔基镇良好的生态资源和特色优势，结合经济社会发展实际和资源禀赋，将规划区打造成以康养旅游为主导，环境宜人、空间精巧的生态康养旅游目的地、鄂温克族自治旗南部旅游集散中心</w:t>
      </w:r>
      <w:r>
        <w:rPr>
          <w:rFonts w:hint="eastAsia" w:cs="Times New Roman"/>
          <w:lang w:eastAsia="zh-CN"/>
        </w:rPr>
        <w:t>。</w:t>
      </w:r>
    </w:p>
    <w:p w14:paraId="316A6A98">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cs="Times New Roman"/>
        </w:rPr>
      </w:pPr>
      <w:r>
        <w:rPr>
          <w:rFonts w:hint="default" w:ascii="Times New Roman" w:hAnsi="Times New Roman" w:cs="Times New Roman"/>
        </w:rPr>
        <w:t>（二）规划规模：规划建设用地规模为</w:t>
      </w:r>
      <w:r>
        <w:rPr>
          <w:rFonts w:hint="eastAsia" w:cs="Times New Roman"/>
          <w:lang w:val="en-US" w:eastAsia="zh-CN"/>
        </w:rPr>
        <w:t>202.91</w:t>
      </w:r>
      <w:r>
        <w:rPr>
          <w:rFonts w:hint="default" w:ascii="Times New Roman" w:hAnsi="Times New Roman" w:cs="Times New Roman"/>
        </w:rPr>
        <w:t>公顷。</w:t>
      </w:r>
    </w:p>
    <w:p w14:paraId="16939D59">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cs="Times New Roman"/>
        </w:rPr>
      </w:pPr>
      <w:r>
        <w:rPr>
          <w:rFonts w:hint="default" w:ascii="Times New Roman" w:hAnsi="Times New Roman" w:cs="Times New Roman"/>
        </w:rPr>
        <w:t>（三）</w:t>
      </w:r>
      <w:r>
        <w:rPr>
          <w:rFonts w:hint="eastAsia" w:cs="Times New Roman"/>
          <w:lang w:val="en-US" w:eastAsia="zh-CN"/>
        </w:rPr>
        <w:t>空间</w:t>
      </w:r>
      <w:r>
        <w:rPr>
          <w:rFonts w:hint="default" w:ascii="Times New Roman" w:hAnsi="Times New Roman" w:cs="Times New Roman"/>
        </w:rPr>
        <w:t>结构：规划形成“两心两轴四区”</w:t>
      </w:r>
      <w:r>
        <w:rPr>
          <w:rFonts w:hint="eastAsia" w:cs="Times New Roman"/>
          <w:lang w:val="en-US" w:eastAsia="zh-CN"/>
        </w:rPr>
        <w:t>的</w:t>
      </w:r>
      <w:r>
        <w:rPr>
          <w:rFonts w:hint="default" w:ascii="Times New Roman" w:hAnsi="Times New Roman" w:cs="Times New Roman"/>
        </w:rPr>
        <w:t>空间结构。其中“两心”是指镇综合服务中心、旅游服务中心；“两轴”是指城镇综合发展轴和旅游服务轴，城镇综合发展轴沿镇区东西向主干道布局商业、行政办公等设施，作为镇区综合发展主轴线</w:t>
      </w:r>
      <w:r>
        <w:rPr>
          <w:rFonts w:hint="eastAsia" w:cs="Times New Roman"/>
          <w:lang w:eastAsia="zh-CN"/>
        </w:rPr>
        <w:t>，</w:t>
      </w:r>
      <w:r>
        <w:rPr>
          <w:rFonts w:hint="default" w:ascii="Times New Roman" w:hAnsi="Times New Roman" w:cs="Times New Roman"/>
        </w:rPr>
        <w:t>旅游服务轴沿南北向主干道形成文旅发展轴，连接对外交通通道和樟子松森林公园</w:t>
      </w:r>
      <w:r>
        <w:rPr>
          <w:rFonts w:hint="eastAsia" w:cs="Times New Roman"/>
          <w:lang w:eastAsia="zh-CN"/>
        </w:rPr>
        <w:t>；</w:t>
      </w:r>
      <w:r>
        <w:rPr>
          <w:rFonts w:hint="default" w:ascii="Times New Roman" w:hAnsi="Times New Roman" w:cs="Times New Roman"/>
        </w:rPr>
        <w:t>“四区”是指宜居生活区、综合服务区、旅游服务区、现代产业区。</w:t>
      </w:r>
    </w:p>
    <w:p w14:paraId="5185FB83">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cs="Times New Roman"/>
        </w:rPr>
      </w:pPr>
      <w:r>
        <w:rPr>
          <w:rFonts w:hint="default" w:ascii="Times New Roman" w:hAnsi="Times New Roman" w:cs="Times New Roman"/>
        </w:rPr>
        <w:t>（</w:t>
      </w:r>
      <w:r>
        <w:rPr>
          <w:rFonts w:hint="eastAsia" w:cs="Times New Roman"/>
          <w:lang w:val="en-US" w:eastAsia="zh-CN"/>
        </w:rPr>
        <w:t>四</w:t>
      </w:r>
      <w:r>
        <w:rPr>
          <w:rFonts w:hint="default" w:ascii="Times New Roman" w:hAnsi="Times New Roman" w:cs="Times New Roman"/>
        </w:rPr>
        <w:t>）</w:t>
      </w:r>
      <w:r>
        <w:rPr>
          <w:rFonts w:hint="eastAsia" w:cs="Times New Roman"/>
          <w:lang w:val="en-US" w:eastAsia="zh-CN"/>
        </w:rPr>
        <w:t>综合交通：</w:t>
      </w:r>
      <w:r>
        <w:rPr>
          <w:rFonts w:hint="default" w:ascii="Times New Roman" w:hAnsi="Times New Roman" w:cs="Times New Roman"/>
        </w:rPr>
        <w:t>规划保持现有对外交通格局，以中央大街（县道X313）作为对外交通主要通道。规划“三横四纵”的干路系统，其中“三横”为中央大街、南大街、北大街；“四纵”为富民路、好迪力路、商业路、松林路。规划3处停车场及1处公共汽车站。</w:t>
      </w:r>
    </w:p>
    <w:p w14:paraId="6E6CB69A">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cs="Times New Roman"/>
        </w:rPr>
      </w:pPr>
      <w:r>
        <w:rPr>
          <w:rFonts w:hint="default" w:ascii="Times New Roman" w:hAnsi="Times New Roman" w:cs="Times New Roman"/>
        </w:rPr>
        <w:t>（五）</w:t>
      </w:r>
      <w:r>
        <w:rPr>
          <w:rFonts w:hint="eastAsia" w:cs="Times New Roman"/>
          <w:lang w:val="en-US" w:eastAsia="zh-CN"/>
        </w:rPr>
        <w:t>绿地与开敞空间：</w:t>
      </w:r>
      <w:r>
        <w:rPr>
          <w:rFonts w:hint="default" w:ascii="Times New Roman" w:hAnsi="Times New Roman" w:cs="Times New Roman"/>
        </w:rPr>
        <w:t>引景入城，依托周边山体、河道等形成生态廊道，构建网络化层级化的绿化系统，形成“两核两轴，一环多点”的绿地与开敞空间格局。“两核”指规划镇级公园和镇级广场</w:t>
      </w:r>
      <w:r>
        <w:rPr>
          <w:rFonts w:hint="eastAsia" w:cs="Times New Roman"/>
          <w:lang w:eastAsia="zh-CN"/>
        </w:rPr>
        <w:t>；</w:t>
      </w:r>
      <w:r>
        <w:rPr>
          <w:rFonts w:hint="default" w:ascii="Times New Roman" w:hAnsi="Times New Roman" w:cs="Times New Roman"/>
        </w:rPr>
        <w:t>“两轴”指沿中央大街和富民路形成的自然和人文景观轴</w:t>
      </w:r>
      <w:r>
        <w:rPr>
          <w:rFonts w:hint="eastAsia" w:cs="Times New Roman"/>
          <w:lang w:eastAsia="zh-CN"/>
        </w:rPr>
        <w:t>；</w:t>
      </w:r>
      <w:r>
        <w:rPr>
          <w:rFonts w:hint="default" w:ascii="Times New Roman" w:hAnsi="Times New Roman" w:cs="Times New Roman"/>
        </w:rPr>
        <w:t>“一环”指沿南大街、北大街形成镇区绿道网</w:t>
      </w:r>
      <w:r>
        <w:rPr>
          <w:rFonts w:hint="eastAsia" w:cs="Times New Roman"/>
          <w:lang w:eastAsia="zh-CN"/>
        </w:rPr>
        <w:t>；</w:t>
      </w:r>
      <w:r>
        <w:rPr>
          <w:rFonts w:hint="default" w:ascii="Times New Roman" w:hAnsi="Times New Roman" w:cs="Times New Roman"/>
        </w:rPr>
        <w:t>“多点”指多处镇区公园和广场。</w:t>
      </w:r>
    </w:p>
    <w:p w14:paraId="4EF3B534">
      <w:pPr>
        <w:keepNext w:val="0"/>
        <w:keepLines w:val="0"/>
        <w:pageBreakBefore w:val="0"/>
        <w:widowControl w:val="0"/>
        <w:kinsoku/>
        <w:wordWrap/>
        <w:overflowPunct/>
        <w:topLinePunct w:val="0"/>
        <w:autoSpaceDE/>
        <w:autoSpaceDN/>
        <w:bidi w:val="0"/>
        <w:adjustRightInd/>
        <w:snapToGrid/>
        <w:jc w:val="left"/>
        <w:textAlignment w:val="auto"/>
        <w:rPr>
          <w:rFonts w:hint="eastAsia" w:cs="Times New Roman"/>
          <w:lang w:val="en-US" w:eastAsia="zh-CN"/>
        </w:rPr>
      </w:pPr>
      <w:r>
        <w:rPr>
          <w:rFonts w:hint="default" w:ascii="Times New Roman" w:hAnsi="Times New Roman" w:cs="Times New Roman"/>
        </w:rPr>
        <w:t>（</w:t>
      </w:r>
      <w:r>
        <w:rPr>
          <w:rFonts w:hint="eastAsia" w:cs="Times New Roman"/>
          <w:lang w:val="en-US" w:eastAsia="zh-CN"/>
        </w:rPr>
        <w:t>六</w:t>
      </w:r>
      <w:r>
        <w:rPr>
          <w:rFonts w:hint="default" w:ascii="Times New Roman" w:hAnsi="Times New Roman" w:cs="Times New Roman"/>
        </w:rPr>
        <w:t>）</w:t>
      </w:r>
      <w:r>
        <w:rPr>
          <w:rFonts w:hint="eastAsia" w:cs="Times New Roman"/>
          <w:lang w:val="en-US" w:eastAsia="zh-CN"/>
        </w:rPr>
        <w:t>公共服务设施：保留现状教育设施，包括红花尔基九年一贯制学校和红花尔基幼儿园；新建1处全民健身中心，按照“5-10分钟”社区生活圈配置体育设施；规划新建1处图书馆和1处文化馆，按照“5-10分钟”社区生活圈配置文化活动站；新建1处养老院，并将老政府办公用地改建为“一老一小”综合服务中心，按照“5-10分钟”社区生活圈配置老年人日间照料中心；新建1处卫生院，并保留现状镇区卫生院，按照“5-10分钟”社区生活圈配置卫生服务站。</w:t>
      </w:r>
    </w:p>
    <w:p w14:paraId="35CBABD9">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cs="Times New Roman"/>
        </w:rPr>
      </w:pPr>
      <w:r>
        <w:rPr>
          <w:rFonts w:hint="default" w:ascii="Times New Roman" w:hAnsi="Times New Roman" w:cs="Times New Roman"/>
        </w:rPr>
        <w:t>（</w:t>
      </w:r>
      <w:r>
        <w:rPr>
          <w:rFonts w:hint="eastAsia" w:cs="Times New Roman"/>
          <w:lang w:val="en-US" w:eastAsia="zh-CN"/>
        </w:rPr>
        <w:t>七</w:t>
      </w:r>
      <w:r>
        <w:rPr>
          <w:rFonts w:hint="default" w:ascii="Times New Roman" w:hAnsi="Times New Roman" w:cs="Times New Roman"/>
        </w:rPr>
        <w:t>）</w:t>
      </w:r>
      <w:r>
        <w:rPr>
          <w:rFonts w:hint="eastAsia" w:cs="Times New Roman"/>
          <w:lang w:val="en-US" w:eastAsia="zh-CN"/>
        </w:rPr>
        <w:t>市政基础设施：规划新建1座水厂，红花尔基水库作为供水水源；推进海绵城市建设，构建与城镇发展相适应的雨水排除与利用系统，于镇区北侧新建1处污水处理厂；设置1处35kV变电站；依托红花尔基绿森热力公司进行镇区供热；规划气源以天然气为主，于镇区西部新建1处燃气门站；保留现状电信支局和邮政所；于镇区北侧设置1处垃圾转运站，完善公共厕所和垃圾收集点布局。</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C86765"/>
    <w:multiLevelType w:val="multilevel"/>
    <w:tmpl w:val="48C86765"/>
    <w:lvl w:ilvl="0" w:tentative="0">
      <w:start w:val="1"/>
      <w:numFmt w:val="chineseCountingThousand"/>
      <w:pStyle w:val="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53375A2"/>
    <w:multiLevelType w:val="multilevel"/>
    <w:tmpl w:val="753375A2"/>
    <w:lvl w:ilvl="0" w:tentative="0">
      <w:start w:val="1"/>
      <w:numFmt w:val="decimal"/>
      <w:pStyle w:val="2"/>
      <w:suff w:val="space"/>
      <w:lvlText w:val="第%1章  "/>
      <w:lvlJc w:val="left"/>
      <w:pPr>
        <w:tabs>
          <w:tab w:val="left" w:pos="0"/>
        </w:tabs>
        <w:ind w:left="0" w:firstLine="0"/>
      </w:pPr>
      <w:rPr>
        <w:rFonts w:hint="default" w:eastAsia="宋体"/>
        <w:sz w:val="32"/>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505F32"/>
    <w:rsid w:val="340547BA"/>
    <w:rsid w:val="3B7C2A15"/>
    <w:rsid w:val="6C292A34"/>
    <w:rsid w:val="72C92B7E"/>
    <w:rsid w:val="7BA07E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8"/>
      <w:szCs w:val="22"/>
      <w:lang w:val="en-US" w:eastAsia="zh-CN" w:bidi="ar-SA"/>
    </w:rPr>
  </w:style>
  <w:style w:type="paragraph" w:styleId="2">
    <w:name w:val="heading 1"/>
    <w:basedOn w:val="1"/>
    <w:next w:val="1"/>
    <w:qFormat/>
    <w:uiPriority w:val="9"/>
    <w:pPr>
      <w:keepNext/>
      <w:keepLines/>
      <w:numPr>
        <w:ilvl w:val="0"/>
        <w:numId w:val="1"/>
      </w:numPr>
      <w:ind w:left="0" w:firstLine="0" w:firstLineChars="0"/>
      <w:jc w:val="center"/>
      <w:outlineLvl w:val="0"/>
    </w:pPr>
    <w:rPr>
      <w:rFonts w:ascii="Times New Roman" w:hAnsi="Times New Roman" w:eastAsia="黑体"/>
      <w:b/>
      <w:bCs/>
      <w:kern w:val="44"/>
      <w:sz w:val="32"/>
      <w:szCs w:val="44"/>
    </w:rPr>
  </w:style>
  <w:style w:type="paragraph" w:styleId="3">
    <w:name w:val="heading 2"/>
    <w:basedOn w:val="1"/>
    <w:next w:val="1"/>
    <w:unhideWhenUsed/>
    <w:qFormat/>
    <w:uiPriority w:val="0"/>
    <w:pPr>
      <w:keepNext/>
      <w:keepLines/>
      <w:numPr>
        <w:ilvl w:val="0"/>
        <w:numId w:val="2"/>
      </w:numPr>
      <w:adjustRightInd w:val="0"/>
      <w:spacing w:line="360" w:lineRule="auto"/>
      <w:ind w:left="0" w:firstLine="1928" w:firstLineChars="200"/>
      <w:jc w:val="both"/>
      <w:outlineLvl w:val="1"/>
    </w:pPr>
    <w:rPr>
      <w:rFonts w:ascii="Cambria" w:hAnsi="Cambria" w:eastAsia="黑体"/>
      <w:bCs/>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971</Words>
  <Characters>1019</Characters>
  <Lines>0</Lines>
  <Paragraphs>0</Paragraphs>
  <TotalTime>15</TotalTime>
  <ScaleCrop>false</ScaleCrop>
  <LinksUpToDate>false</LinksUpToDate>
  <CharactersWithSpaces>1019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2025-10-30T07:55:00Z</dcterms:created>
  <dc:creator>72934</dc:creator>
  <cp:lastModifiedBy>WPS_1688693563</cp:lastModifiedBy>
  <dcterms:modified xsi:type="dcterms:W3CDTF">2025-10-31T02:58:09Z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eyJoZGlkIjoiNjU2YmQyNWZhOTE1MDIwNzQ2MGFiYjNhOTBjZDlkMjgiLCJ1c2VySWQiOiIxNTExNDE2MTUyIn0=</vt:lpwstr>
  </property>
  <property fmtid="{D5CDD505-2E9C-101B-9397-08002B2CF9AE}" pid="4" name="ICV">
    <vt:lpwstr>0B934E12F34D4B6AA5667DFC1285FD50_12</vt:lpwstr>
  </property>
</Properties>
</file>