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关于202</w:t>
      </w:r>
      <w:r>
        <w:rPr>
          <w:rFonts w:hint="default" w:ascii="方正小标宋简体" w:hAnsi="Arial" w:eastAsia="方正小标宋简体" w:cs="Arial"/>
          <w:bCs/>
          <w:kern w:val="0"/>
          <w:sz w:val="44"/>
          <w:szCs w:val="44"/>
          <w:lang w:val="en-US"/>
        </w:rPr>
        <w:t>3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年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/>
        </w:rPr>
        <w:t>内蒙古自治区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 w:eastAsia="zh-CN"/>
        </w:rPr>
        <w:t>鄂温克族自治旗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本级一般公共预算收入情况的说明</w:t>
      </w:r>
    </w:p>
    <w:p>
      <w:pPr>
        <w:rPr>
          <w:rFonts w:hint="eastAsia" w:ascii="Arial" w:hAnsi="Arial" w:cs="Arial"/>
          <w:b/>
          <w:bCs/>
          <w:color w:val="185895"/>
          <w:kern w:val="0"/>
          <w:sz w:val="36"/>
          <w:szCs w:val="36"/>
        </w:rPr>
      </w:pP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鄂温克族自治旗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一般公共预算收入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145,991万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元，比上年增加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32,101万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元，增长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28.19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</w:rPr>
        <w:t>完成年初预算的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133.6</w:t>
      </w:r>
      <w:r>
        <w:rPr>
          <w:rFonts w:hint="eastAsia" w:ascii="仿宋" w:hAnsi="仿宋" w:eastAsia="仿宋" w:cs="仿宋"/>
          <w:sz w:val="32"/>
          <w:szCs w:val="32"/>
        </w:rPr>
        <w:t>%，主要原因是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煤炭资源领域违规违法问题国有资产损失罚款24,624万元。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1、增值税完成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30,116万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元，比上年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减少2,784万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8.46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%。主要是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2022年第一季度煤电企业上缴2021年10-12月份保供缓缴相关税金入库。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2、企业所得税完成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17,475万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元，比上年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增加1,121万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增长6.85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%。主要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  <w:t>原因是煤电企业汇算清缴调增矿山治理恢复基金。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3、个人所得税完成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2,452万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元，比上年增加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772万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元，增长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45.95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</w:rPr>
        <w:t>%，主要是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eastAsia="zh-CN"/>
        </w:rPr>
        <w:t>工资薪金个人所得税较上年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增长46.48%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</w:rPr>
        <w:t>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4、资源税完成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27,872万</w:t>
      </w:r>
      <w:r>
        <w:rPr>
          <w:rFonts w:hint="eastAsia" w:ascii="仿宋" w:hAnsi="仿宋" w:eastAsia="仿宋" w:cs="仿宋"/>
          <w:sz w:val="32"/>
          <w:szCs w:val="32"/>
        </w:rPr>
        <w:t>元，比上年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减少667万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2.34</w:t>
      </w:r>
      <w:r>
        <w:rPr>
          <w:rFonts w:hint="eastAsia" w:ascii="仿宋" w:hAnsi="仿宋" w:eastAsia="仿宋" w:cs="仿宋"/>
          <w:sz w:val="32"/>
          <w:szCs w:val="32"/>
        </w:rPr>
        <w:t>%，主要是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/>
        </w:rPr>
        <w:t>2022年第一季度煤电企业上缴2021年10-12月份保供缓缴相关税金入库。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5、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/>
        </w:rPr>
        <w:t>城市维护建设</w:t>
      </w:r>
      <w:r>
        <w:rPr>
          <w:rFonts w:hint="eastAsia" w:ascii="仿宋" w:hAnsi="仿宋" w:eastAsia="仿宋" w:cs="仿宋"/>
          <w:kern w:val="2"/>
          <w:sz w:val="32"/>
          <w:szCs w:val="32"/>
        </w:rPr>
        <w:t>税完成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4,366万</w:t>
      </w:r>
      <w:r>
        <w:rPr>
          <w:rFonts w:hint="eastAsia" w:ascii="仿宋" w:hAnsi="仿宋" w:eastAsia="仿宋" w:cs="仿宋"/>
          <w:kern w:val="2"/>
          <w:sz w:val="32"/>
          <w:szCs w:val="32"/>
        </w:rPr>
        <w:t>元，比上年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减少303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kern w:val="2"/>
          <w:sz w:val="32"/>
          <w:szCs w:val="32"/>
        </w:rPr>
        <w:t>元，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6.49</w:t>
      </w:r>
      <w:r>
        <w:rPr>
          <w:rFonts w:hint="eastAsia" w:ascii="仿宋" w:hAnsi="仿宋" w:eastAsia="仿宋" w:cs="仿宋"/>
          <w:kern w:val="2"/>
          <w:sz w:val="32"/>
          <w:szCs w:val="32"/>
        </w:rPr>
        <w:t>%。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原因主要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/>
        </w:rPr>
        <w:t>2022年第一季度煤电企业上缴2021年10-12月份保供缓缴相关税金入库。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6、房产税完成3,791万元,比上年增加611万元，增长19.21%。原因能源集团补缴2022年房产税，矿业公司缓缴入库房产税。</w:t>
      </w:r>
      <w:bookmarkStart w:id="0" w:name="_GoBack"/>
      <w:bookmarkEnd w:id="0"/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7、印花税完成922万元，比上年减少112万元，下降10.83%。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8、城镇土地使用税完成5,184万元,比上年增加1,110万元，增长27.25%。原因是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/>
        </w:rPr>
        <w:t>2022年第一季度煤电企业上缴2021年10-12月份保供缓缴相关税金入库。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9、土地增值税完成4,344万元，比上年增加2,298万元，增长112.32%。原因是2023年房地产企业项目达到清算标准，进行了清算缴税入库。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10、车船税完成775万元，比上年增加115万元，增长17.42%。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11、耕地占用税完成4,304万元，比上年增加1,892万元，增长78.44%。原因是呼伦贝尔汽车产业园区（一期）基础设施建设需求，分批次缴纳耕地占用税1192万元。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12、契税完成3,250万元，比上年增加311万元，增长10.58%。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/>
        </w:rPr>
        <w:t>13、环境保护税完成1886万元，比上年减少183万元，下降8.84%。原因是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/>
        </w:rPr>
        <w:t>2022年第一季度煤电企业上缴2021年10-12月份保供缓缴相关税金入库。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、专项收入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7,250万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元，比上年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增加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554万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8.27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%。主要原因是</w:t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highlight w:val="none"/>
          <w:lang w:val="en-US" w:eastAsia="zh-CN"/>
        </w:rPr>
        <w:t>2022年第一季度煤电企业上缴2021年10-12月份保供缓缴教育费附加收入入库。</w:t>
      </w:r>
    </w:p>
    <w:p>
      <w:pPr>
        <w:pStyle w:val="2"/>
        <w:spacing w:line="560" w:lineRule="exact"/>
        <w:ind w:left="0" w:leftChars="0" w:firstLine="0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 xml:space="preserve">    15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、行政事业性收费收入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5,427万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元，比上年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增加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2,885万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113.49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%。主要是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草原植被恢复费比上年同期增加1,065万元，水土保持补偿费收入比上年同期增加1,103万元。防空地下室异地建设费增加689万元。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、罚没收入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26,217万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元，比上年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增加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25,055万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增长2156.20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%，主要原因是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公安涉案资金同期增加726万元，煤炭资源领域违规违法问题国有资产损失罚款24,624万元。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17、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国有资源（资产）有偿使用收入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256万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元，比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上年减少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593万元，下降69.85%。原因是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为上年同期一次性土地租金收入。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18、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政府住房基金收入完成95万元，与上年减少15万元，增长18.75%。原因为清欠廉租和公租房租金收入。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19、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其他收入(款)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104万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元，较上年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19万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下降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22.35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主要是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交通部门收取的损坏公路路产赔补偿费收入。</w:t>
      </w:r>
    </w:p>
    <w:p>
      <w:pPr>
        <w:rPr>
          <w:rFonts w:hint="eastAsia"/>
          <w:color w:val="FF0000"/>
          <w:highlight w:val="none"/>
        </w:rPr>
      </w:pPr>
    </w:p>
    <w:p>
      <w:pPr>
        <w:rPr>
          <w:rFonts w:hint="eastAsia"/>
          <w:color w:val="FF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444E3"/>
    <w:rsid w:val="0A785B5B"/>
    <w:rsid w:val="326E135A"/>
    <w:rsid w:val="34DF42A8"/>
    <w:rsid w:val="36BA6973"/>
    <w:rsid w:val="37AA0197"/>
    <w:rsid w:val="38955E66"/>
    <w:rsid w:val="42B51446"/>
    <w:rsid w:val="4AFB5971"/>
    <w:rsid w:val="501D5056"/>
    <w:rsid w:val="5F5444D9"/>
    <w:rsid w:val="69664C05"/>
    <w:rsid w:val="69E12503"/>
    <w:rsid w:val="6F405655"/>
    <w:rsid w:val="731E4E25"/>
    <w:rsid w:val="770444E3"/>
    <w:rsid w:val="770A7622"/>
    <w:rsid w:val="7ABE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2024-08-16T02:55:00Z</dcterms:created>
  <dc:creator>lenovo</dc:creator>
  <cp:lastModifiedBy>lenovo</cp:lastModifiedBy>
  <dcterms:modified xsi:type="dcterms:W3CDTF">2024-08-19T02:40:49Z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