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C28C2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大标宋_GBK" w:hAnsi="方正大标宋_GBK" w:eastAsia="方正小标宋简体" w:cs="方正大标宋_GBK"/>
          <w:sz w:val="44"/>
          <w:szCs w:val="44"/>
          <w:lang w:eastAsia="zh-CN"/>
        </w:rPr>
      </w:pPr>
      <w:r>
        <w:rPr>
          <w:rFonts w:hint="eastAsia" w:ascii="方正小标宋简体" w:hAnsi="方正小标宋简体" w:eastAsia="方正小标宋简体" w:cs="方正小标宋简体"/>
          <w:sz w:val="44"/>
          <w:szCs w:val="44"/>
          <w:lang w:eastAsia="zh-CN"/>
        </w:rPr>
        <w:t>鄂温克族自治旗</w:t>
      </w:r>
      <w:r>
        <w:rPr>
          <w:rFonts w:hint="eastAsia" w:ascii="方正小标宋简体" w:hAnsi="方正小标宋简体" w:eastAsia="方正小标宋简体" w:cs="方正小标宋简体"/>
          <w:sz w:val="44"/>
          <w:szCs w:val="44"/>
        </w:rPr>
        <w:t>特困人员认定</w:t>
      </w:r>
      <w:r>
        <w:rPr>
          <w:rFonts w:hint="eastAsia" w:ascii="方正小标宋简体" w:hAnsi="方正小标宋简体" w:eastAsia="方正小标宋简体" w:cs="方正小标宋简体"/>
          <w:sz w:val="44"/>
          <w:szCs w:val="44"/>
          <w:lang w:eastAsia="zh-CN"/>
        </w:rPr>
        <w:t>实施细则</w:t>
      </w:r>
    </w:p>
    <w:p w14:paraId="7A4F275E">
      <w:pPr>
        <w:spacing w:line="640" w:lineRule="exact"/>
        <w:jc w:val="center"/>
        <w:rPr>
          <w:rFonts w:hint="eastAsia" w:ascii="方正楷体简体" w:hAnsi="方正楷体简体" w:eastAsia="方正楷体简体" w:cs="方正楷体简体"/>
          <w:sz w:val="32"/>
          <w:szCs w:val="32"/>
        </w:rPr>
      </w:pPr>
      <w:r>
        <w:rPr>
          <w:rFonts w:hint="eastAsia" w:ascii="方正小标宋简体" w:eastAsia="方正小标宋简体"/>
          <w:color w:val="auto"/>
          <w:sz w:val="44"/>
          <w:szCs w:val="44"/>
          <w:highlight w:val="none"/>
          <w:lang w:eastAsia="zh-CN"/>
        </w:rPr>
        <w:t>（</w:t>
      </w:r>
      <w:r>
        <w:rPr>
          <w:rFonts w:hint="eastAsia" w:ascii="方正小标宋简体" w:eastAsia="方正小标宋简体"/>
          <w:color w:val="auto"/>
          <w:sz w:val="44"/>
          <w:szCs w:val="44"/>
          <w:highlight w:val="none"/>
          <w:lang w:val="en-US" w:eastAsia="zh-CN"/>
        </w:rPr>
        <w:t>征求意见稿）</w:t>
      </w:r>
    </w:p>
    <w:p w14:paraId="3047F964">
      <w:pPr>
        <w:spacing w:line="960" w:lineRule="auto"/>
        <w:jc w:val="cente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第一章  总  则</w:t>
      </w:r>
    </w:p>
    <w:p w14:paraId="652ED35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第一条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auto"/>
          <w:sz w:val="32"/>
          <w:szCs w:val="32"/>
          <w:lang w:val="en-US" w:eastAsia="zh-CN"/>
        </w:rPr>
        <w:t>为规范全旗特困人员认定工作，</w:t>
      </w:r>
      <w:r>
        <w:rPr>
          <w:rFonts w:hint="eastAsia" w:ascii="仿宋_GB2312" w:hAnsi="仿宋_GB2312" w:eastAsia="仿宋_GB2312" w:cs="仿宋_GB2312"/>
          <w:color w:val="auto"/>
          <w:sz w:val="32"/>
          <w:szCs w:val="32"/>
        </w:rPr>
        <w:t>根据《民政部关于印发〈特困人员认定办法〉的通知》《</w:t>
      </w:r>
      <w:r>
        <w:rPr>
          <w:rFonts w:hint="eastAsia" w:ascii="仿宋_GB2312" w:hAnsi="仿宋_GB2312" w:eastAsia="仿宋_GB2312" w:cs="仿宋_GB2312"/>
          <w:color w:val="auto"/>
          <w:sz w:val="32"/>
          <w:szCs w:val="32"/>
          <w:lang w:val="en-US" w:eastAsia="zh-CN"/>
        </w:rPr>
        <w:t>内蒙古自治区人民政府关于进一步健全特困人员救助供养制度的实施意见</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内蒙古自治区民政厅</w:t>
      </w:r>
      <w:r>
        <w:rPr>
          <w:rFonts w:hint="eastAsia" w:ascii="仿宋_GB2312" w:hAnsi="仿宋_GB2312" w:eastAsia="仿宋_GB2312" w:cs="仿宋_GB2312"/>
          <w:color w:val="auto"/>
          <w:sz w:val="32"/>
          <w:szCs w:val="32"/>
          <w:lang w:val="en-US" w:eastAsia="zh-CN"/>
        </w:rPr>
        <w:t>关于进一步加强特困人员救助供养工作规范化管理的通知</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《呼伦贝尔市改革完善社会救助制度的实施方案》《呼伦贝尔市民政局关于印发〈呼伦贝尔市特困人员认定办法〉的通知》</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rPr>
        <w:t>相关规定，</w:t>
      </w:r>
      <w:r>
        <w:rPr>
          <w:rFonts w:hint="eastAsia" w:ascii="仿宋_GB2312" w:hAnsi="仿宋_GB2312" w:eastAsia="仿宋_GB2312" w:cs="仿宋_GB2312"/>
          <w:color w:val="auto"/>
          <w:sz w:val="32"/>
          <w:szCs w:val="32"/>
          <w:lang w:val="en-US" w:eastAsia="zh-CN"/>
        </w:rPr>
        <w:t>结合我旗实际，</w:t>
      </w:r>
      <w:r>
        <w:rPr>
          <w:rFonts w:hint="eastAsia" w:ascii="仿宋_GB2312" w:hAnsi="仿宋_GB2312" w:eastAsia="仿宋_GB2312" w:cs="仿宋_GB2312"/>
          <w:color w:val="auto"/>
          <w:sz w:val="32"/>
          <w:szCs w:val="32"/>
        </w:rPr>
        <w:t>制定本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w:t>
      </w:r>
      <w:bookmarkStart w:id="0" w:name="_GoBack"/>
      <w:bookmarkEnd w:id="0"/>
    </w:p>
    <w:p w14:paraId="1009202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第二条</w:t>
      </w:r>
      <w:r>
        <w:rPr>
          <w:rFonts w:hint="eastAsia" w:ascii="仿宋_GB2312" w:hAnsi="仿宋_GB2312" w:eastAsia="仿宋_GB2312" w:cs="仿宋_GB2312"/>
          <w:color w:val="auto"/>
          <w:sz w:val="32"/>
          <w:szCs w:val="32"/>
        </w:rPr>
        <w:t xml:space="preserve">  特困人员认定工作应当遵循以下原则：</w:t>
      </w:r>
    </w:p>
    <w:p w14:paraId="76ACE5AD">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（一）应救尽救，应养尽养；</w:t>
      </w:r>
    </w:p>
    <w:p w14:paraId="710DEB0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（二）属地管理，分级负责；</w:t>
      </w:r>
    </w:p>
    <w:p w14:paraId="7A821535">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（三）严格规范，高效便民；</w:t>
      </w:r>
    </w:p>
    <w:p w14:paraId="6F04C08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（四）公开、公平、公正。</w:t>
      </w:r>
    </w:p>
    <w:p w14:paraId="33156F8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第三条</w:t>
      </w:r>
      <w:r>
        <w:rPr>
          <w:rFonts w:hint="eastAsia" w:ascii="黑体" w:hAnsi="黑体" w:eastAsia="黑体" w:cs="Times New Roman"/>
          <w:color w:val="auto"/>
          <w:sz w:val="32"/>
          <w:szCs w:val="32"/>
          <w:highlight w:val="none"/>
          <w:lang w:val="en-US" w:eastAsia="zh-CN"/>
        </w:rPr>
        <w:t xml:space="preserve"> </w:t>
      </w:r>
      <w:r>
        <w:rPr>
          <w:rFonts w:hint="eastAsia" w:ascii="仿宋_GB2312" w:hAnsi="仿宋_GB2312" w:eastAsia="仿宋_GB2312" w:cs="仿宋_GB2312"/>
          <w:color w:val="auto"/>
          <w:sz w:val="32"/>
          <w:szCs w:val="32"/>
        </w:rPr>
        <w:t xml:space="preserve"> 鄂温克族自治旗民政局按程序将</w:t>
      </w:r>
      <w:r>
        <w:rPr>
          <w:rFonts w:hint="eastAsia" w:ascii="仿宋_GB2312" w:hAnsi="仿宋_GB2312" w:eastAsia="仿宋_GB2312" w:cs="仿宋_GB2312"/>
          <w:color w:val="auto"/>
          <w:sz w:val="32"/>
          <w:szCs w:val="32"/>
          <w:lang w:eastAsia="zh-CN"/>
        </w:rPr>
        <w:t>特困人员认定的</w:t>
      </w:r>
      <w:r>
        <w:rPr>
          <w:rFonts w:hint="eastAsia" w:ascii="仿宋_GB2312" w:hAnsi="仿宋_GB2312" w:eastAsia="仿宋_GB2312" w:cs="仿宋_GB2312"/>
          <w:color w:val="auto"/>
          <w:sz w:val="32"/>
          <w:szCs w:val="32"/>
        </w:rPr>
        <w:t>审核确认权限下放至苏木乡镇，并负责</w:t>
      </w:r>
      <w:r>
        <w:rPr>
          <w:rFonts w:hint="eastAsia" w:ascii="仿宋_GB2312" w:hAnsi="仿宋_GB2312" w:eastAsia="仿宋_GB2312" w:cs="仿宋_GB2312"/>
          <w:color w:val="auto"/>
          <w:sz w:val="32"/>
          <w:szCs w:val="32"/>
          <w:lang w:eastAsia="zh-CN"/>
        </w:rPr>
        <w:t>特困人员</w:t>
      </w:r>
      <w:r>
        <w:rPr>
          <w:rFonts w:hint="eastAsia" w:ascii="仿宋_GB2312" w:hAnsi="仿宋_GB2312" w:eastAsia="仿宋_GB2312" w:cs="仿宋_GB2312"/>
          <w:color w:val="auto"/>
          <w:sz w:val="32"/>
          <w:szCs w:val="32"/>
        </w:rPr>
        <w:t>认定的监督、指导工作，苏木乡镇人民政府负责</w:t>
      </w:r>
      <w:r>
        <w:rPr>
          <w:rFonts w:hint="eastAsia" w:ascii="仿宋_GB2312" w:hAnsi="仿宋_GB2312" w:eastAsia="仿宋_GB2312" w:cs="仿宋_GB2312"/>
          <w:color w:val="auto"/>
          <w:sz w:val="32"/>
          <w:szCs w:val="32"/>
          <w:lang w:eastAsia="zh-CN"/>
        </w:rPr>
        <w:t>特困人员认定</w:t>
      </w:r>
      <w:r>
        <w:rPr>
          <w:rFonts w:hint="eastAsia" w:ascii="仿宋_GB2312" w:hAnsi="仿宋_GB2312" w:eastAsia="仿宋_GB2312" w:cs="仿宋_GB2312"/>
          <w:color w:val="auto"/>
          <w:sz w:val="32"/>
          <w:szCs w:val="32"/>
        </w:rPr>
        <w:t>的审核确认工作，嘎查（居）民委员会协助做好相关工作。</w:t>
      </w:r>
    </w:p>
    <w:p w14:paraId="072FB510">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黑体" w:hAnsi="黑体" w:eastAsia="黑体" w:cs="Times New Roman"/>
          <w:color w:val="auto"/>
          <w:sz w:val="36"/>
          <w:szCs w:val="36"/>
          <w:highlight w:val="none"/>
        </w:rPr>
      </w:pPr>
    </w:p>
    <w:p w14:paraId="45094E49">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6"/>
          <w:szCs w:val="36"/>
          <w:highlight w:val="none"/>
        </w:rPr>
        <w:t>第二章  认定条件</w:t>
      </w:r>
    </w:p>
    <w:p w14:paraId="6B368D4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第四条</w:t>
      </w:r>
      <w:r>
        <w:rPr>
          <w:rFonts w:hint="eastAsia" w:ascii="仿宋_GB2312" w:hAnsi="仿宋_GB2312" w:eastAsia="仿宋_GB2312" w:cs="仿宋_GB2312"/>
          <w:color w:val="auto"/>
          <w:sz w:val="32"/>
          <w:szCs w:val="32"/>
        </w:rPr>
        <w:t xml:space="preserve">  同时具备以下条件的老年人、残疾人和未成年人，应当依法纳入特困人员救助供养范围：</w:t>
      </w:r>
    </w:p>
    <w:p w14:paraId="6A74D02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（一）无劳动能力；</w:t>
      </w:r>
    </w:p>
    <w:p w14:paraId="1E0B31F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（二）无生活来源；</w:t>
      </w:r>
    </w:p>
    <w:p w14:paraId="43C9088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（三）无法定赡养、抚养、扶养义务人或者其法定义务人无履行义务能力。</w:t>
      </w:r>
    </w:p>
    <w:p w14:paraId="555F169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第五条</w:t>
      </w:r>
      <w:r>
        <w:rPr>
          <w:rFonts w:hint="eastAsia" w:ascii="仿宋_GB2312" w:hAnsi="仿宋_GB2312" w:eastAsia="仿宋_GB2312" w:cs="仿宋_GB2312"/>
          <w:color w:val="auto"/>
          <w:sz w:val="32"/>
          <w:szCs w:val="32"/>
        </w:rPr>
        <w:t xml:space="preserve">  符合下列情形之一的，应当认定为本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所称的无劳动能力：</w:t>
      </w:r>
    </w:p>
    <w:p w14:paraId="5C0D5783">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（一）60周岁以上的老年人；</w:t>
      </w:r>
    </w:p>
    <w:p w14:paraId="5F135BC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（二）未满16周岁的未成年人；</w:t>
      </w:r>
    </w:p>
    <w:p w14:paraId="18D39058">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（三）残疾等级为一、二、三级的智力、精神残疾人，残疾等级为一、二级的肢体残疾人，残疾等级为一级的视力残疾人；</w:t>
      </w:r>
    </w:p>
    <w:p w14:paraId="1994E8C5">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rPr>
        <w:t>第六条</w:t>
      </w:r>
      <w:r>
        <w:rPr>
          <w:rFonts w:hint="eastAsia" w:ascii="仿宋_GB2312" w:hAnsi="仿宋_GB2312" w:eastAsia="仿宋_GB2312" w:cs="仿宋_GB2312"/>
          <w:color w:val="auto"/>
          <w:sz w:val="32"/>
          <w:szCs w:val="32"/>
        </w:rPr>
        <w:t xml:space="preserve">  收入低于</w:t>
      </w:r>
      <w:r>
        <w:rPr>
          <w:rFonts w:hint="eastAsia" w:ascii="仿宋_GB2312" w:hAnsi="仿宋_GB2312" w:eastAsia="仿宋_GB2312" w:cs="仿宋_GB2312"/>
          <w:color w:val="auto"/>
          <w:sz w:val="32"/>
          <w:szCs w:val="32"/>
          <w:lang w:eastAsia="zh-CN"/>
        </w:rPr>
        <w:t>鄂温克族自治旗</w:t>
      </w:r>
      <w:r>
        <w:rPr>
          <w:rFonts w:hint="eastAsia" w:ascii="仿宋_GB2312" w:hAnsi="仿宋_GB2312" w:eastAsia="仿宋_GB2312" w:cs="仿宋_GB2312"/>
          <w:color w:val="auto"/>
          <w:sz w:val="32"/>
          <w:szCs w:val="32"/>
        </w:rPr>
        <w:t>最低生活保障标准，且财产符合</w:t>
      </w:r>
      <w:r>
        <w:rPr>
          <w:rFonts w:hint="eastAsia" w:ascii="仿宋_GB2312" w:hAnsi="仿宋_GB2312" w:eastAsia="仿宋_GB2312" w:cs="仿宋_GB2312"/>
          <w:color w:val="auto"/>
          <w:sz w:val="32"/>
          <w:szCs w:val="32"/>
          <w:lang w:eastAsia="zh-CN"/>
        </w:rPr>
        <w:t>鄂温克族自治旗</w:t>
      </w:r>
      <w:r>
        <w:rPr>
          <w:rFonts w:hint="eastAsia" w:ascii="仿宋_GB2312" w:hAnsi="仿宋_GB2312" w:eastAsia="仿宋_GB2312" w:cs="仿宋_GB2312"/>
          <w:color w:val="auto"/>
          <w:sz w:val="32"/>
          <w:szCs w:val="32"/>
        </w:rPr>
        <w:t>特困人员财产状况规定的，应当认定为本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所称的无生活来源。</w:t>
      </w:r>
    </w:p>
    <w:p w14:paraId="24A121D2">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前款所称收入包括工资性收入、经营净收入、财产净收入、转移净收入等各类收入。中央、自治区确定的城乡居民基本养老保险基础养老金，基本医疗保险等社会保险，国家规定的优待抚恤金、计划生育奖励与扶助金以及见义勇为等奖励性补助，困难在校生的救助金、生活补贴和在校学生获得的奖学金、助学贷款，高龄津贴、困难残疾人生活补贴和重度残疾人护理补贴、经济困难老年人养老服务补贴、生活不能自理经济困难老年人护理补贴，政府发放的各类社会救助款物不计入在内。</w:t>
      </w:r>
    </w:p>
    <w:p w14:paraId="420DDF0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工资性收入。工资性收入指就业人员通过各种途径得到的全部劳动报酬和各种福利并扣除必要的就业成本，包括因任职或者受雇而取得的工资、薪金、奖金、劳动分红、津贴、补贴以及与任职或者受雇有关的其他所得等。</w:t>
      </w:r>
    </w:p>
    <w:p w14:paraId="20CE3123">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经营净收入。经营净收入指从事生产经营及有偿服务活动所获得全部经营收入扣除经营费用、生产性固定资产折旧和生产税之后得到的收入。包括从事种植、养殖、采集及加工等农林牧渔业的生产收入，从事工业、建筑业、手工业、交通运输业、批发和零售贸易业、餐饮业、文教卫生业和社会服务业等经营及有偿服务活动的收入等。</w:t>
      </w:r>
    </w:p>
    <w:p w14:paraId="06C63DD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财产净收入。财产净收入指出让动产和不动产，或将动产和不动产交由其他机构、单位或个人使用并扣除相关费用之后得到的收入，包括储蓄存款利息、有价证券红利、储蓄性保险投资以及其他股息和红利等收入，集体财产收入分红和其他动产收入，以及转租承包土地经营权、出租或者出让房产以及其他不动产收入等。</w:t>
      </w:r>
    </w:p>
    <w:p w14:paraId="05B8ED3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四）转移净收入。转移净收入指转移性收入扣减转移性支出之后的收入。其中，转移性收入指国家、机关企事业单位、社会组织对居民的各种经常性转移支付和居民之间的经常性收入转移，包括赡养（抚养、扶养）费、离退休金、失业保险金、遗属补助金、赔偿收入、接受捐赠（赠送）收入等；转移性支出指居民对国家、企事业单位、社会组织、居民的经常性转移支出，包括缴纳的税款、各项社会保障支出、赡养支出以及其他经常性转移支出等。</w:t>
      </w:r>
    </w:p>
    <w:p w14:paraId="2B224F3A">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Times New Roman"/>
          <w:color w:val="auto"/>
          <w:sz w:val="32"/>
          <w:szCs w:val="32"/>
          <w:highlight w:val="none"/>
          <w:lang w:val="en-US" w:eastAsia="zh-CN"/>
        </w:rPr>
        <w:t>第七条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特困救助申请人收入核算方法。通过计算特困救助申请人家庭工资性收入、家庭经营净收入、家庭财产净收入、家庭转移净收入、其他收入、刚性支出、降低特殊困难家庭收入等七项内容综合核算特困救助申请人收入，计算公式如下：</w:t>
      </w:r>
    </w:p>
    <w:p w14:paraId="763B17C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特困救助申请人收入总和</w:t>
      </w:r>
      <w:r>
        <w:rPr>
          <w:rFonts w:hint="eastAsia" w:ascii="仿宋_GB2312" w:eastAsia="仿宋_GB2312"/>
          <w:color w:val="auto"/>
          <w:sz w:val="32"/>
          <w:szCs w:val="32"/>
          <w:highlight w:val="none"/>
          <w:lang w:val="en-US" w:eastAsia="zh-CN"/>
        </w:rPr>
        <w:t>＝</w:t>
      </w:r>
      <w:r>
        <w:rPr>
          <w:rFonts w:hint="eastAsia" w:ascii="仿宋_GB2312" w:hAnsi="仿宋_GB2312" w:eastAsia="仿宋_GB2312" w:cs="仿宋_GB2312"/>
          <w:color w:val="auto"/>
          <w:sz w:val="32"/>
          <w:szCs w:val="32"/>
          <w:lang w:val="en-US" w:eastAsia="zh-CN"/>
        </w:rPr>
        <w:t>（家庭工资性收入总和+家庭经营净收入总和+家庭财产净收入总和+家庭转移净收入总和+家庭其他收入总和-刚性支出总和-降低特殊困难家庭收入总和）/家庭人数</w:t>
      </w:r>
    </w:p>
    <w:p w14:paraId="427A9427">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计算后，家庭人均收入低于0元按0元核算。</w:t>
      </w:r>
    </w:p>
    <w:p w14:paraId="0C7DC6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eastAsia="仿宋_GB2312"/>
          <w:color w:val="auto"/>
          <w:sz w:val="32"/>
          <w:szCs w:val="32"/>
          <w:highlight w:val="none"/>
          <w:lang w:eastAsia="zh-CN"/>
        </w:rPr>
      </w:pPr>
      <w:r>
        <w:rPr>
          <w:rFonts w:hint="eastAsia" w:ascii="仿宋_GB2312" w:hAnsi="仿宋_GB2312" w:eastAsia="仿宋_GB2312" w:cs="仿宋_GB2312"/>
          <w:color w:val="auto"/>
          <w:sz w:val="32"/>
          <w:szCs w:val="32"/>
          <w:lang w:val="en-US" w:eastAsia="zh-CN"/>
        </w:rPr>
        <w:t>（一）刚性支出核算。刚性支出主要指自特困申请前12个月内，共同生活的家庭成员因残疾、患病、照料重病重残人员、照料失能失智人员、照料婴幼儿、教育、租房、就业、受灾、意外事件、社保缴费等原因形成的必需性基本支出。</w:t>
      </w:r>
    </w:p>
    <w:p w14:paraId="0083303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eastAsia="zh-CN"/>
        </w:rPr>
        <w:t>（二）</w:t>
      </w:r>
      <w:r>
        <w:rPr>
          <w:rFonts w:hint="eastAsia" w:ascii="仿宋_GB2312" w:eastAsia="仿宋_GB2312"/>
          <w:color w:val="auto"/>
          <w:sz w:val="32"/>
          <w:szCs w:val="32"/>
          <w:highlight w:val="none"/>
          <w:lang w:val="en-US" w:eastAsia="zh-CN"/>
        </w:rPr>
        <w:t>降低特殊困难家庭收入核算。对因重病重残完全丧失劳动能力的家庭、多重残疾或一户多残家庭、一户多病家庭、有未成年人的丧偶单亲家庭、一方服刑或失踪的单亲家庭、家庭有70周岁以上老年人家庭、有哺乳期妇女家庭等特殊困难家庭可以根据实际困难情况进行家庭收入适度核减。</w:t>
      </w:r>
    </w:p>
    <w:p w14:paraId="291BB5E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eastAsia="zh-CN"/>
        </w:rPr>
      </w:pPr>
      <w:r>
        <w:rPr>
          <w:rFonts w:hint="eastAsia" w:ascii="黑体" w:hAnsi="黑体" w:eastAsia="黑体" w:cs="Times New Roman"/>
          <w:color w:val="auto"/>
          <w:sz w:val="32"/>
          <w:szCs w:val="32"/>
          <w:highlight w:val="none"/>
          <w:lang w:val="en-US" w:eastAsia="zh-CN"/>
        </w:rPr>
        <w:t>第八条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第六条所称财产是指拥有的全部动产和不动产。动产主要包括银行存款、证券、基金、商业保险、债权、互联网金融资产以及车辆等。银行存款按照家庭成员账户中的总金额认定,有条件的地方可参考一定时间内的账户流水情况综合评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证券、基金等金融资产按照股票市值和资金账户余额或基金净值认定;商业保险按照保险合同约定的给付时间和现金价值认定;债权按照协议等文本信息认定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highlight w:val="none"/>
        </w:rPr>
        <w:t>市场主体情况主要包括开办或投资企业、个体工商户、农民专业合作社等情况,按照市场监管部门登记信息确定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车辆</w:t>
      </w:r>
      <w:r>
        <w:rPr>
          <w:rFonts w:hint="eastAsia" w:ascii="仿宋_GB2312" w:hAnsi="仿宋_GB2312" w:eastAsia="仿宋_GB2312" w:cs="仿宋_GB2312"/>
          <w:color w:val="auto"/>
          <w:sz w:val="32"/>
          <w:szCs w:val="32"/>
        </w:rPr>
        <w:t>主要包括机动车辆、船舶、大型农机具等，按照公安、交通运输、农业等相关部门登记信息认定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不动产主要包括房屋、林木等定着物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按照不动产登记部门颁发的不动产产权证书的登记信息、相关购买信息和已在住房和城乡建设部门办理网签备案等信息认定</w:t>
      </w:r>
      <w:r>
        <w:rPr>
          <w:rFonts w:hint="eastAsia" w:ascii="仿宋_GB2312" w:hAnsi="仿宋_GB2312" w:eastAsia="仿宋_GB2312" w:cs="仿宋_GB2312"/>
          <w:color w:val="auto"/>
          <w:sz w:val="32"/>
          <w:szCs w:val="32"/>
          <w:lang w:eastAsia="zh-CN"/>
        </w:rPr>
        <w:t>。</w:t>
      </w:r>
      <w:r>
        <w:rPr>
          <w:rFonts w:hint="eastAsia" w:ascii="仿宋_GB2312" w:eastAsia="仿宋_GB2312"/>
          <w:color w:val="auto"/>
          <w:sz w:val="32"/>
          <w:szCs w:val="32"/>
          <w:highlight w:val="none"/>
        </w:rPr>
        <w:t>对于维持家庭生产生活的必需财产，可以在认定家庭财产状况时予以豁免</w:t>
      </w:r>
      <w:r>
        <w:rPr>
          <w:rFonts w:hint="eastAsia" w:ascii="仿宋_GB2312" w:eastAsia="仿宋_GB2312"/>
          <w:color w:val="auto"/>
          <w:sz w:val="32"/>
          <w:szCs w:val="32"/>
          <w:highlight w:val="none"/>
          <w:lang w:eastAsia="zh-CN"/>
        </w:rPr>
        <w:t>。</w:t>
      </w:r>
    </w:p>
    <w:p w14:paraId="3929499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有下列情形之一的，不符合本实施细则第六条所称特困人员财产状况规定：</w:t>
      </w:r>
    </w:p>
    <w:p w14:paraId="633141A9">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共同生活的家庭成员名下金融资产的人均金额（市值）超过当地24个月城市低保标准之和的；</w:t>
      </w:r>
    </w:p>
    <w:p w14:paraId="6A88915D">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共同生活的家庭成员名下住房（含自建房、商品房）总计超过1套（栋）（房屋累计建筑面积低于属地政府规定的最低面积或人均使用面积低于15平方米的除外）；</w:t>
      </w:r>
    </w:p>
    <w:p w14:paraId="332F684A">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拥有商业用房的；</w:t>
      </w:r>
    </w:p>
    <w:p w14:paraId="2B1077D1">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共同生活的家庭成员名下拥有机动车辆、船舶的；拥有的大型农机具总价值超过5万元的。维持家庭生产生活所必需的小型农机具，家用经济型摩托车，家用经济型两轮、三轮电动车以及残疾人代步车可以在认定时予以豁免。</w:t>
      </w:r>
    </w:p>
    <w:p w14:paraId="506F6C04">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苏木乡镇人民政府民政部门可以通过辅助指标评估认定特困人员家庭经济状况，作为评估该家庭是否存在隐瞒收入、财产状况的参考依据。辅助指标主要包括家庭人均住房面积大幅超出一般家庭平均水平，高标准装修住房，在银行有消费类贷款，用水、用电、燃气、通讯等日常生活费用大幅超出一般家庭平均费用以及存在自费在高收费学校就读(入托、出国留学)、出国旅游等高消费情况。对于辅助指标超标或不合理且不能说明理由的，可作为家庭经济状况超出规定的判断依据。</w:t>
      </w:r>
    </w:p>
    <w:p w14:paraId="57E4E367">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第九条</w:t>
      </w:r>
      <w:r>
        <w:rPr>
          <w:rFonts w:hint="eastAsia" w:ascii="仿宋_GB2312" w:hAnsi="仿宋_GB2312" w:eastAsia="仿宋_GB2312" w:cs="仿宋_GB2312"/>
          <w:color w:val="auto"/>
          <w:sz w:val="32"/>
          <w:szCs w:val="32"/>
        </w:rPr>
        <w:t xml:space="preserve">  法定义务人符合下列情形之一的，应当认定为本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所称的无履行义务能力：</w:t>
      </w:r>
    </w:p>
    <w:p w14:paraId="11D50DBD">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（一）特困人员；</w:t>
      </w:r>
    </w:p>
    <w:p w14:paraId="1D06F45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（二）60周岁以上的最低生活保障对象；</w:t>
      </w:r>
    </w:p>
    <w:p w14:paraId="7E08BD3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（三）70周岁以上的老年人，本人收入低于当地上年人均可支配收入，且其财产符合当地</w:t>
      </w:r>
      <w:r>
        <w:rPr>
          <w:rFonts w:hint="eastAsia" w:ascii="仿宋_GB2312" w:hAnsi="仿宋_GB2312" w:eastAsia="仿宋_GB2312" w:cs="仿宋_GB2312"/>
          <w:color w:val="auto"/>
          <w:sz w:val="32"/>
          <w:szCs w:val="32"/>
          <w:lang w:val="en-US" w:eastAsia="zh-CN"/>
        </w:rPr>
        <w:t>低收入</w:t>
      </w:r>
      <w:r>
        <w:rPr>
          <w:rFonts w:hint="eastAsia" w:ascii="仿宋_GB2312" w:hAnsi="仿宋_GB2312" w:eastAsia="仿宋_GB2312" w:cs="仿宋_GB2312"/>
          <w:color w:val="auto"/>
          <w:sz w:val="32"/>
          <w:szCs w:val="32"/>
        </w:rPr>
        <w:t>家庭财产状况规定的；</w:t>
      </w:r>
    </w:p>
    <w:p w14:paraId="41A09221">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（四）重度残疾人和残疾等级为三级的智力、精神残疾人，本人收入低于当地上年人均可支配收入，且其财产符合当地</w:t>
      </w:r>
      <w:r>
        <w:rPr>
          <w:rFonts w:hint="eastAsia" w:ascii="仿宋_GB2312" w:hAnsi="仿宋_GB2312" w:eastAsia="仿宋_GB2312" w:cs="仿宋_GB2312"/>
          <w:color w:val="auto"/>
          <w:sz w:val="32"/>
          <w:szCs w:val="32"/>
          <w:lang w:val="en-US" w:eastAsia="zh-CN"/>
        </w:rPr>
        <w:t>低收入</w:t>
      </w:r>
      <w:r>
        <w:rPr>
          <w:rFonts w:hint="eastAsia" w:ascii="仿宋_GB2312" w:hAnsi="仿宋_GB2312" w:eastAsia="仿宋_GB2312" w:cs="仿宋_GB2312"/>
          <w:color w:val="auto"/>
          <w:sz w:val="32"/>
          <w:szCs w:val="32"/>
        </w:rPr>
        <w:t>家庭财产状况规定的；</w:t>
      </w:r>
    </w:p>
    <w:p w14:paraId="62E9D33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（五）无民事行为能力、被宣告失踪或者在监狱服刑的人员，且其财产符合当地</w:t>
      </w:r>
      <w:r>
        <w:rPr>
          <w:rFonts w:hint="eastAsia" w:ascii="仿宋_GB2312" w:hAnsi="仿宋_GB2312" w:eastAsia="仿宋_GB2312" w:cs="仿宋_GB2312"/>
          <w:color w:val="auto"/>
          <w:sz w:val="32"/>
          <w:szCs w:val="32"/>
          <w:lang w:val="en-US" w:eastAsia="zh-CN"/>
        </w:rPr>
        <w:t>低收入</w:t>
      </w:r>
      <w:r>
        <w:rPr>
          <w:rFonts w:hint="eastAsia" w:ascii="仿宋_GB2312" w:hAnsi="仿宋_GB2312" w:eastAsia="仿宋_GB2312" w:cs="仿宋_GB2312"/>
          <w:color w:val="auto"/>
          <w:sz w:val="32"/>
          <w:szCs w:val="32"/>
        </w:rPr>
        <w:t>家庭财产状况规定的；</w:t>
      </w:r>
    </w:p>
    <w:p w14:paraId="5D042597">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第十条</w:t>
      </w:r>
      <w:r>
        <w:rPr>
          <w:rFonts w:hint="eastAsia" w:ascii="仿宋_GB2312" w:hAnsi="仿宋_GB2312" w:eastAsia="仿宋_GB2312" w:cs="仿宋_GB2312"/>
          <w:color w:val="auto"/>
          <w:sz w:val="32"/>
          <w:szCs w:val="32"/>
        </w:rPr>
        <w:t xml:space="preserve">  同时符合特困人员救助供养条件和孤儿、事实无人抚养儿童认定条件的未成年人，选择申请纳入孤儿、事实无人抚养儿童基本生活保障范围的，不再认定为特困人员。</w:t>
      </w:r>
    </w:p>
    <w:p w14:paraId="6294D02E">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纳入特困人员救助供养范围的人员，不再适用最低生活保障政策</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困难残疾人生活补贴和重度残疾人护理补贴政策、经济困难老年人养老服务补贴政策、生活不能自理经济困难老年人护理补贴政策。</w:t>
      </w:r>
    </w:p>
    <w:p w14:paraId="191D7918">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第三章  申请及受理</w:t>
      </w:r>
    </w:p>
    <w:p w14:paraId="58AFE002">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第十一条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申请特困人员救助供养，应当由本人向户籍所在地</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人民政府提出书面申请。本人申请有困难的，可以委托</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或者他人代为提出申请。</w:t>
      </w:r>
    </w:p>
    <w:p w14:paraId="125D34D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申请人及其法定义务人应提供材料</w:t>
      </w:r>
      <w:r>
        <w:rPr>
          <w:rFonts w:hint="eastAsia" w:ascii="仿宋_GB2312" w:hAnsi="仿宋_GB2312" w:eastAsia="仿宋_GB2312" w:cs="仿宋_GB2312"/>
          <w:color w:val="auto"/>
          <w:sz w:val="32"/>
          <w:szCs w:val="32"/>
        </w:rPr>
        <w:t>主要包括</w:t>
      </w:r>
      <w:r>
        <w:rPr>
          <w:rFonts w:hint="eastAsia" w:ascii="仿宋_GB2312" w:hAnsi="仿宋_GB2312" w:eastAsia="仿宋_GB2312" w:cs="仿宋_GB2312"/>
          <w:color w:val="auto"/>
          <w:sz w:val="32"/>
          <w:szCs w:val="32"/>
          <w:highlight w:val="none"/>
          <w:lang w:eastAsia="zh-CN"/>
        </w:rPr>
        <w:t>申请及授权书、</w:t>
      </w:r>
      <w:r>
        <w:rPr>
          <w:rFonts w:hint="eastAsia" w:ascii="仿宋_GB2312" w:hAnsi="仿宋_GB2312" w:eastAsia="仿宋_GB2312" w:cs="仿宋_GB2312"/>
          <w:color w:val="auto"/>
          <w:sz w:val="32"/>
          <w:szCs w:val="32"/>
          <w:highlight w:val="none"/>
        </w:rPr>
        <w:t>有效身份证明</w:t>
      </w:r>
      <w:r>
        <w:rPr>
          <w:rFonts w:hint="eastAsia" w:ascii="仿宋_GB2312" w:hAnsi="仿宋_GB2312" w:eastAsia="仿宋_GB2312" w:cs="仿宋_GB2312"/>
          <w:color w:val="auto"/>
          <w:sz w:val="32"/>
          <w:szCs w:val="32"/>
          <w:highlight w:val="none"/>
          <w:lang w:eastAsia="zh-CN"/>
        </w:rPr>
        <w:t>、疾病情况证明。</w:t>
      </w:r>
      <w:r>
        <w:rPr>
          <w:rFonts w:hint="eastAsia" w:ascii="仿宋_GB2312" w:hAnsi="仿宋_GB2312" w:eastAsia="仿宋_GB2312" w:cs="仿宋_GB2312"/>
          <w:color w:val="auto"/>
          <w:sz w:val="32"/>
          <w:szCs w:val="32"/>
          <w:lang w:eastAsia="zh-CN"/>
        </w:rPr>
        <w:t>特困人员认定过程中，对家庭经济状况调查结果有异议的，需提供相关证明材料或声明材料。</w:t>
      </w:r>
    </w:p>
    <w:p w14:paraId="39AEA1F5">
      <w:pPr>
        <w:pStyle w:val="7"/>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z w:val="32"/>
          <w:szCs w:val="32"/>
          <w:lang w:eastAsia="zh-CN"/>
        </w:rPr>
        <w:t>申请人及其法定义务人收入、财产、婚姻状况、残疾状况等，</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由申请人如实</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申报</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并</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签署承诺书</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，苏木乡镇人民政府民政部门通过查看法定证照、查询政务服务平台、开展家庭经济状况核对等方式开展调查，申请人对调查结果无异议的，不得要求申请人提供相关证明材料。</w:t>
      </w:r>
    </w:p>
    <w:p w14:paraId="43E2D3D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申请人及其法定义务人应当履行授权核查家庭经济状况的相关手续。</w:t>
      </w:r>
    </w:p>
    <w:p w14:paraId="11F6BE3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第十二条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应当及时了解掌握辖区内居民的生活情况，发现可能符合特困人员救助供养条件的，应当告知其救助供养政策，对因无民事行为能力或者限制民事行为能力等原因无法提出申请的，应当主动帮助其申请。</w:t>
      </w:r>
    </w:p>
    <w:p w14:paraId="3D911E52">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第十三条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人民政府应当对申请人或者其代理人提交的材料进行审查，材料齐备的，</w:t>
      </w:r>
      <w:r>
        <w:rPr>
          <w:rFonts w:hint="eastAsia" w:ascii="仿宋_GB2312" w:hAnsi="仿宋_GB2312" w:eastAsia="仿宋_GB2312" w:cs="仿宋_GB2312"/>
          <w:color w:val="auto"/>
          <w:sz w:val="32"/>
          <w:szCs w:val="32"/>
          <w:highlight w:val="none"/>
        </w:rPr>
        <w:t>予以受理；</w:t>
      </w:r>
      <w:r>
        <w:rPr>
          <w:rFonts w:hint="eastAsia" w:ascii="仿宋_GB2312" w:hAnsi="仿宋_GB2312" w:eastAsia="仿宋_GB2312" w:cs="仿宋_GB2312"/>
          <w:color w:val="auto"/>
          <w:sz w:val="32"/>
          <w:szCs w:val="32"/>
        </w:rPr>
        <w:t>材料不齐备的，应当</w:t>
      </w:r>
      <w:r>
        <w:rPr>
          <w:rFonts w:hint="eastAsia" w:ascii="仿宋_GB2312" w:hAnsi="仿宋_GB2312" w:eastAsia="仿宋_GB2312" w:cs="仿宋_GB2312"/>
          <w:color w:val="auto"/>
          <w:sz w:val="32"/>
          <w:szCs w:val="32"/>
          <w:highlight w:val="none"/>
        </w:rPr>
        <w:t>一次性告知</w:t>
      </w:r>
      <w:r>
        <w:rPr>
          <w:rFonts w:hint="eastAsia" w:ascii="仿宋_GB2312" w:hAnsi="仿宋_GB2312" w:eastAsia="仿宋_GB2312" w:cs="仿宋_GB2312"/>
          <w:color w:val="auto"/>
          <w:sz w:val="32"/>
          <w:szCs w:val="32"/>
        </w:rPr>
        <w:t>申请人或者其代理人补齐所有规定材料。</w:t>
      </w:r>
    </w:p>
    <w:p w14:paraId="74601A7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Times New Roman"/>
          <w:color w:val="auto"/>
          <w:sz w:val="32"/>
          <w:szCs w:val="32"/>
          <w:highlight w:val="none"/>
          <w:lang w:val="en-US" w:eastAsia="zh-CN"/>
        </w:rPr>
        <w:t>第十四条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特困人员救助供养经办人员、</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lang w:val="en-US" w:eastAsia="zh-CN"/>
        </w:rPr>
        <w:t>成员、社会救助协理员与申请人有</w:t>
      </w:r>
      <w:r>
        <w:rPr>
          <w:rFonts w:hint="eastAsia" w:ascii="仿宋_GB2312" w:hAnsi="仿宋_GB2312" w:eastAsia="仿宋_GB2312" w:cs="仿宋_GB2312"/>
          <w:color w:val="auto"/>
          <w:sz w:val="32"/>
          <w:szCs w:val="32"/>
          <w:highlight w:val="none"/>
          <w:lang w:val="en-US" w:eastAsia="zh-CN"/>
        </w:rPr>
        <w:t>近亲属</w:t>
      </w:r>
      <w:r>
        <w:rPr>
          <w:rFonts w:hint="eastAsia" w:ascii="仿宋_GB2312" w:hAnsi="仿宋_GB2312" w:eastAsia="仿宋_GB2312" w:cs="仿宋_GB2312"/>
          <w:color w:val="auto"/>
          <w:sz w:val="32"/>
          <w:szCs w:val="32"/>
          <w:lang w:val="en-US" w:eastAsia="zh-CN"/>
        </w:rPr>
        <w:t>关系的，苏木乡镇人民政府应当单独登记</w:t>
      </w:r>
      <w:r>
        <w:rPr>
          <w:rFonts w:hint="eastAsia" w:ascii="仿宋_GB2312" w:hAnsi="仿宋_GB2312" w:eastAsia="仿宋_GB2312" w:cs="仿宋_GB2312"/>
          <w:color w:val="auto"/>
          <w:sz w:val="32"/>
          <w:szCs w:val="32"/>
          <w:highlight w:val="none"/>
          <w:lang w:val="en-US" w:eastAsia="zh-CN"/>
        </w:rPr>
        <w:t>备案</w:t>
      </w:r>
      <w:r>
        <w:rPr>
          <w:rFonts w:hint="eastAsia" w:ascii="仿宋_GB2312" w:hAnsi="仿宋_GB2312" w:eastAsia="仿宋_GB2312" w:cs="仿宋_GB2312"/>
          <w:color w:val="auto"/>
          <w:sz w:val="32"/>
          <w:szCs w:val="32"/>
          <w:lang w:val="en-US" w:eastAsia="zh-CN"/>
        </w:rPr>
        <w:t>。</w:t>
      </w:r>
    </w:p>
    <w:p w14:paraId="2C0767EA">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“特困人员救助供养经办人员”是指涉及具体办理和分管特困受理、审核（包括家庭经济状况调查）、确认等事项的苏木乡镇人民政府工作人员。</w:t>
      </w:r>
    </w:p>
    <w:p w14:paraId="3C4A5A1F">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“近亲属关系”是指有夫妻关系、直系血亲关系、三代以内旁系血亲关系以及近姻亲关系的亲属。</w:t>
      </w:r>
    </w:p>
    <w:p w14:paraId="4F352A8C">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仿宋_GB2312" w:hAnsi="仿宋_GB2312" w:eastAsia="仿宋_GB2312" w:cs="仿宋_GB2312"/>
          <w:color w:val="auto"/>
          <w:sz w:val="32"/>
          <w:szCs w:val="32"/>
          <w:highlight w:val="none"/>
        </w:rPr>
      </w:pPr>
      <w:r>
        <w:rPr>
          <w:rFonts w:hint="eastAsia" w:ascii="黑体" w:hAnsi="黑体" w:eastAsia="黑体" w:cs="Times New Roman"/>
          <w:color w:val="auto"/>
          <w:sz w:val="36"/>
          <w:szCs w:val="36"/>
          <w:highlight w:val="none"/>
        </w:rPr>
        <w:t>第四章  审核确认</w:t>
      </w:r>
    </w:p>
    <w:p w14:paraId="34391761">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第十五条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w:t>
      </w:r>
      <w:r>
        <w:rPr>
          <w:rFonts w:hint="eastAsia" w:ascii="仿宋_GB2312" w:hAnsi="仿宋_GB2312" w:eastAsia="仿宋_GB2312" w:cs="仿宋_GB2312"/>
          <w:color w:val="auto"/>
          <w:sz w:val="32"/>
          <w:szCs w:val="32"/>
          <w:lang w:eastAsia="zh-CN"/>
        </w:rPr>
        <w:t>民政部门</w:t>
      </w:r>
      <w:r>
        <w:rPr>
          <w:rFonts w:hint="eastAsia" w:ascii="仿宋_GB2312" w:hAnsi="仿宋_GB2312" w:eastAsia="仿宋_GB2312" w:cs="仿宋_GB2312"/>
          <w:color w:val="auto"/>
          <w:sz w:val="32"/>
          <w:szCs w:val="32"/>
        </w:rPr>
        <w:t>应当自受理申请之日起15个工作日内，通过入户调查、邻里访问、信函索证、信息核对等方式，对申请人的经济状况、实际生活状况以及赡养、抚养、扶养状况等进行调查核实，并提出初审意见。</w:t>
      </w:r>
    </w:p>
    <w:p w14:paraId="33F58CFA">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申请人以及有关单位、组织或者个人应当配合调查，如实提供有关情况。</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应当协助</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人民政府开展调查核实。</w:t>
      </w:r>
    </w:p>
    <w:p w14:paraId="6BEB18F2">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第十六条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w:t>
      </w:r>
      <w:r>
        <w:rPr>
          <w:rFonts w:hint="eastAsia" w:ascii="仿宋_GB2312" w:hAnsi="仿宋_GB2312" w:eastAsia="仿宋_GB2312" w:cs="仿宋_GB2312"/>
          <w:color w:val="auto"/>
          <w:sz w:val="32"/>
          <w:szCs w:val="32"/>
          <w:lang w:eastAsia="zh-CN"/>
        </w:rPr>
        <w:t>民政部门</w:t>
      </w:r>
      <w:r>
        <w:rPr>
          <w:rFonts w:hint="eastAsia" w:ascii="仿宋_GB2312" w:hAnsi="仿宋_GB2312" w:eastAsia="仿宋_GB2312" w:cs="仿宋_GB2312"/>
          <w:color w:val="auto"/>
          <w:sz w:val="32"/>
          <w:szCs w:val="32"/>
        </w:rPr>
        <w:t>应当将初审意见及时在申请人所在</w:t>
      </w:r>
      <w:r>
        <w:rPr>
          <w:rFonts w:hint="eastAsia" w:ascii="仿宋_GB2312" w:hAnsi="仿宋_GB2312" w:eastAsia="仿宋_GB2312" w:cs="仿宋_GB2312"/>
          <w:color w:val="auto"/>
          <w:sz w:val="32"/>
          <w:szCs w:val="32"/>
          <w:lang w:eastAsia="zh-CN"/>
        </w:rPr>
        <w:t>嘎查</w:t>
      </w:r>
      <w:r>
        <w:rPr>
          <w:rFonts w:hint="eastAsia" w:ascii="仿宋_GB2312" w:hAnsi="仿宋_GB2312" w:eastAsia="仿宋_GB2312" w:cs="仿宋_GB2312"/>
          <w:color w:val="auto"/>
          <w:sz w:val="32"/>
          <w:szCs w:val="32"/>
        </w:rPr>
        <w:t>（社区）公示。公示期为7天。对公示有异议的，</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w:t>
      </w:r>
      <w:r>
        <w:rPr>
          <w:rFonts w:hint="eastAsia" w:ascii="仿宋_GB2312" w:hAnsi="仿宋_GB2312" w:eastAsia="仿宋_GB2312" w:cs="仿宋_GB2312"/>
          <w:color w:val="auto"/>
          <w:sz w:val="32"/>
          <w:szCs w:val="32"/>
          <w:lang w:eastAsia="zh-CN"/>
        </w:rPr>
        <w:t>民政部门</w:t>
      </w:r>
      <w:r>
        <w:rPr>
          <w:rFonts w:hint="eastAsia" w:ascii="仿宋_GB2312" w:hAnsi="仿宋_GB2312" w:eastAsia="仿宋_GB2312" w:cs="仿宋_GB2312"/>
          <w:color w:val="auto"/>
          <w:sz w:val="32"/>
          <w:szCs w:val="32"/>
        </w:rPr>
        <w:t>应当重新组织调查核实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在15个工作日内提出初审意见，并重新公示。</w:t>
      </w:r>
    </w:p>
    <w:p w14:paraId="0B54A4F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 xml:space="preserve">第十七条  </w:t>
      </w:r>
      <w:r>
        <w:rPr>
          <w:rFonts w:hint="eastAsia" w:ascii="仿宋_GB2312" w:hAnsi="仿宋_GB2312" w:eastAsia="仿宋_GB2312" w:cs="仿宋_GB2312"/>
          <w:color w:val="auto"/>
          <w:sz w:val="32"/>
          <w:szCs w:val="32"/>
          <w:lang w:val="en-US" w:eastAsia="zh-CN"/>
        </w:rPr>
        <w:t>公示期满无异议的，</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w:t>
      </w:r>
      <w:r>
        <w:rPr>
          <w:rFonts w:hint="eastAsia" w:ascii="仿宋_GB2312" w:hAnsi="仿宋_GB2312" w:eastAsia="仿宋_GB2312" w:cs="仿宋_GB2312"/>
          <w:color w:val="auto"/>
          <w:sz w:val="32"/>
          <w:szCs w:val="32"/>
          <w:lang w:eastAsia="zh-CN"/>
        </w:rPr>
        <w:t>对</w:t>
      </w:r>
      <w:r>
        <w:rPr>
          <w:rFonts w:hint="eastAsia" w:ascii="仿宋_GB2312" w:hAnsi="仿宋_GB2312" w:eastAsia="仿宋_GB2312" w:cs="仿宋_GB2312"/>
          <w:color w:val="auto"/>
          <w:sz w:val="32"/>
          <w:szCs w:val="32"/>
        </w:rPr>
        <w:t>申请材料、调查材料和初审意见</w:t>
      </w:r>
      <w:r>
        <w:rPr>
          <w:rFonts w:hint="eastAsia" w:ascii="仿宋_GB2312" w:hAnsi="仿宋_GB2312" w:eastAsia="仿宋_GB2312" w:cs="仿宋_GB2312"/>
          <w:color w:val="auto"/>
          <w:sz w:val="32"/>
          <w:szCs w:val="32"/>
          <w:lang w:eastAsia="zh-CN"/>
        </w:rPr>
        <w:t>进行全面审核</w:t>
      </w:r>
      <w:r>
        <w:rPr>
          <w:rFonts w:hint="eastAsia" w:ascii="仿宋_GB2312" w:hAnsi="仿宋_GB2312" w:eastAsia="仿宋_GB2312" w:cs="仿宋_GB2312"/>
          <w:color w:val="auto"/>
          <w:sz w:val="32"/>
          <w:szCs w:val="32"/>
        </w:rPr>
        <w:t>，并提出确认意见。</w:t>
      </w:r>
    </w:p>
    <w:p w14:paraId="10C17291">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第十八条</w:t>
      </w:r>
      <w:r>
        <w:rPr>
          <w:rFonts w:hint="eastAsia" w:ascii="仿宋_GB2312" w:hAnsi="仿宋_GB2312" w:eastAsia="仿宋_GB2312" w:cs="仿宋_GB2312"/>
          <w:color w:val="auto"/>
          <w:sz w:val="32"/>
          <w:szCs w:val="32"/>
        </w:rPr>
        <w:t xml:space="preserve">  对符合救助供养条件的申请，</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人民政府应当及时予以确认，建立救助供养档案，从确认之日下月起给予救助供养待遇，并在申请人所在</w:t>
      </w:r>
      <w:r>
        <w:rPr>
          <w:rFonts w:hint="eastAsia" w:ascii="仿宋_GB2312" w:hAnsi="仿宋_GB2312" w:eastAsia="仿宋_GB2312" w:cs="仿宋_GB2312"/>
          <w:color w:val="auto"/>
          <w:sz w:val="32"/>
          <w:szCs w:val="32"/>
          <w:lang w:eastAsia="zh-CN"/>
        </w:rPr>
        <w:t>嘎查</w:t>
      </w:r>
      <w:r>
        <w:rPr>
          <w:rFonts w:hint="eastAsia" w:ascii="仿宋_GB2312" w:hAnsi="仿宋_GB2312" w:eastAsia="仿宋_GB2312" w:cs="仿宋_GB2312"/>
          <w:color w:val="auto"/>
          <w:sz w:val="32"/>
          <w:szCs w:val="32"/>
        </w:rPr>
        <w:t>（社区）公布。</w:t>
      </w:r>
    </w:p>
    <w:p w14:paraId="033821E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第十九条</w:t>
      </w:r>
      <w:r>
        <w:rPr>
          <w:rFonts w:hint="eastAsia" w:ascii="仿宋_GB2312" w:hAnsi="仿宋_GB2312" w:eastAsia="仿宋_GB2312" w:cs="仿宋_GB2312"/>
          <w:color w:val="auto"/>
          <w:sz w:val="32"/>
          <w:szCs w:val="32"/>
        </w:rPr>
        <w:t xml:space="preserve">  不符合条件、不予同意的，</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人民政府应当在作出决定3个工作日内，书面告知申请人或者其代理人并说明理由。</w:t>
      </w:r>
    </w:p>
    <w:p w14:paraId="4911DA8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特困</w:t>
      </w:r>
      <w:r>
        <w:rPr>
          <w:rFonts w:hint="eastAsia" w:ascii="仿宋_GB2312" w:hAnsi="仿宋_GB2312" w:eastAsia="仿宋_GB2312" w:cs="仿宋_GB2312"/>
          <w:color w:val="auto"/>
          <w:sz w:val="32"/>
          <w:szCs w:val="32"/>
        </w:rPr>
        <w:t>审核确认权限下放到苏木乡镇人民政府，由苏木乡镇人民政府提出审核确认意见，鄂温克族自治旗民政局切实履行监管职责。对苏木乡镇人民政府新审核确认事项，鄂温克族自治旗民政局按照不低于30%的比例进行抽查。</w:t>
      </w:r>
    </w:p>
    <w:p w14:paraId="260A613E">
      <w:pPr>
        <w:pStyle w:val="7"/>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第二十一条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特困审核确认权限下放到苏木乡镇人民政府的，应当自受理之日起20个工作日之内完成。发生公示有异议、或者家庭经济状况调查难度较大等特殊情况的，可以延长至45个工作日。</w:t>
      </w:r>
    </w:p>
    <w:p w14:paraId="2691F8CD">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6"/>
          <w:szCs w:val="36"/>
          <w:highlight w:val="none"/>
        </w:rPr>
        <w:t>第五章  生活自理能力评估</w:t>
      </w:r>
    </w:p>
    <w:p w14:paraId="2E6050FD">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第二十二条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人民政府民政部门应当在</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协助下，对特困人员生活自理能力进行评估，并根据评估结果，确定特困人员应当享受的照料护理标准档次。</w:t>
      </w:r>
    </w:p>
    <w:p w14:paraId="077FC6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有条件的地方，可以委托第三方机构开展特困人员生活自理能力评估。</w:t>
      </w:r>
    </w:p>
    <w:p w14:paraId="241FBC11">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第二十三条</w:t>
      </w:r>
      <w:r>
        <w:rPr>
          <w:rFonts w:hint="eastAsia" w:ascii="仿宋_GB2312" w:hAnsi="仿宋_GB2312" w:eastAsia="仿宋_GB2312" w:cs="仿宋_GB2312"/>
          <w:color w:val="auto"/>
          <w:sz w:val="32"/>
          <w:szCs w:val="32"/>
        </w:rPr>
        <w:t xml:space="preserve">  特困人员生活自理能力，一般依据以下6项指标综合评估：</w:t>
      </w:r>
    </w:p>
    <w:p w14:paraId="3128BA3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（一）自主吃饭；</w:t>
      </w:r>
    </w:p>
    <w:p w14:paraId="70DBE24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（二）自主穿衣；</w:t>
      </w:r>
    </w:p>
    <w:p w14:paraId="201F4BA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（三）自主上下床；</w:t>
      </w:r>
    </w:p>
    <w:p w14:paraId="0CB9FB8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（四）自主如厕；</w:t>
      </w:r>
    </w:p>
    <w:p w14:paraId="2C8B58AA">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（五）室内自主行走；</w:t>
      </w:r>
    </w:p>
    <w:p w14:paraId="1A5D1E3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（六）自主洗澡。</w:t>
      </w:r>
    </w:p>
    <w:p w14:paraId="48587D8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第二十四条</w:t>
      </w:r>
      <w:r>
        <w:rPr>
          <w:rFonts w:hint="eastAsia" w:ascii="仿宋_GB2312" w:hAnsi="仿宋_GB2312" w:eastAsia="仿宋_GB2312" w:cs="仿宋_GB2312"/>
          <w:color w:val="auto"/>
          <w:sz w:val="32"/>
          <w:szCs w:val="32"/>
        </w:rPr>
        <w:t xml:space="preserve">  根据本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第二十</w:t>
      </w:r>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rPr>
        <w:t>条规定内容，特困人员生活自理状况6项指标全部达到的，可以视为具备生活自理能力；有</w:t>
      </w:r>
      <w:r>
        <w:rPr>
          <w:rFonts w:hint="eastAsia" w:ascii="仿宋_GB2312" w:hAnsi="仿宋_GB2312" w:eastAsia="仿宋_GB2312" w:cs="仿宋_GB2312"/>
          <w:color w:val="auto"/>
          <w:sz w:val="32"/>
          <w:szCs w:val="32"/>
          <w:lang w:val="en-US" w:eastAsia="zh-CN"/>
        </w:rPr>
        <w:t>1至</w:t>
      </w:r>
      <w:r>
        <w:rPr>
          <w:rFonts w:hint="eastAsia" w:ascii="仿宋_GB2312" w:hAnsi="仿宋_GB2312" w:eastAsia="仿宋_GB2312" w:cs="仿宋_GB2312"/>
          <w:color w:val="auto"/>
          <w:sz w:val="32"/>
          <w:szCs w:val="32"/>
        </w:rPr>
        <w:t>3项指标不能达到的，可以视为部分丧失生活自理能力；有4</w:t>
      </w:r>
      <w:r>
        <w:rPr>
          <w:rFonts w:hint="eastAsia" w:ascii="仿宋_GB2312" w:hAnsi="仿宋_GB2312" w:eastAsia="仿宋_GB2312" w:cs="仿宋_GB2312"/>
          <w:color w:val="auto"/>
          <w:sz w:val="32"/>
          <w:szCs w:val="32"/>
          <w:lang w:val="en-US" w:eastAsia="zh-CN"/>
        </w:rPr>
        <w:t>至6项</w:t>
      </w:r>
      <w:r>
        <w:rPr>
          <w:rFonts w:hint="eastAsia" w:ascii="仿宋_GB2312" w:hAnsi="仿宋_GB2312" w:eastAsia="仿宋_GB2312" w:cs="仿宋_GB2312"/>
          <w:color w:val="auto"/>
          <w:sz w:val="32"/>
          <w:szCs w:val="32"/>
        </w:rPr>
        <w:t>指标不能达到的，可以视为完全丧失生活自理能力。</w:t>
      </w:r>
    </w:p>
    <w:p w14:paraId="7225DC6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第二十五条</w:t>
      </w:r>
      <w:r>
        <w:rPr>
          <w:rFonts w:hint="eastAsia" w:ascii="仿宋_GB2312" w:hAnsi="仿宋_GB2312" w:eastAsia="仿宋_GB2312" w:cs="仿宋_GB2312"/>
          <w:color w:val="auto"/>
          <w:sz w:val="32"/>
          <w:szCs w:val="32"/>
        </w:rPr>
        <w:t xml:space="preserve">  特困人员生活自理能力发生变化的，本人、照料服务人、</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或者供养服务机构应当通过</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人民政府（街道办事处）及时报告</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人民政府民政部门应当自接到报告之日起10个工作日内组织复核评估，并根据评估结果及时调整特困人员生活自理能力认定类别。</w:t>
      </w:r>
    </w:p>
    <w:p w14:paraId="22938DB1">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w:t>
      </w:r>
      <w:r>
        <w:rPr>
          <w:rFonts w:hint="eastAsia" w:ascii="黑体" w:hAnsi="黑体" w:eastAsia="黑体" w:cs="Times New Roman"/>
          <w:color w:val="auto"/>
          <w:sz w:val="36"/>
          <w:szCs w:val="36"/>
          <w:highlight w:val="none"/>
          <w:lang w:val="en-US" w:eastAsia="zh-CN"/>
        </w:rPr>
        <w:t>六</w:t>
      </w:r>
      <w:r>
        <w:rPr>
          <w:rFonts w:hint="eastAsia" w:ascii="黑体" w:hAnsi="黑体" w:eastAsia="黑体" w:cs="Times New Roman"/>
          <w:color w:val="auto"/>
          <w:sz w:val="36"/>
          <w:szCs w:val="36"/>
          <w:highlight w:val="none"/>
        </w:rPr>
        <w:t>章  终止救助供养</w:t>
      </w:r>
    </w:p>
    <w:p w14:paraId="68038DD3">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第二十六条</w:t>
      </w:r>
      <w:r>
        <w:rPr>
          <w:rFonts w:hint="eastAsia" w:ascii="仿宋_GB2312" w:hAnsi="仿宋_GB2312" w:eastAsia="仿宋_GB2312" w:cs="仿宋_GB2312"/>
          <w:color w:val="auto"/>
          <w:sz w:val="32"/>
          <w:szCs w:val="32"/>
        </w:rPr>
        <w:t xml:space="preserve">  特困人员有下列情形之一的，应当及时终止救助供养：</w:t>
      </w:r>
    </w:p>
    <w:p w14:paraId="47C22395">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（一）死亡或者被宣告死亡、被宣告失踪；</w:t>
      </w:r>
    </w:p>
    <w:p w14:paraId="06D7110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（二）具备或者恢复劳动能力；</w:t>
      </w:r>
    </w:p>
    <w:p w14:paraId="446DD96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（三）依法被判处刑罚，且在监狱服刑；</w:t>
      </w:r>
    </w:p>
    <w:p w14:paraId="129AC450">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（四）收入和财产状况不再符合本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第六条</w:t>
      </w:r>
      <w:r>
        <w:rPr>
          <w:rFonts w:hint="eastAsia" w:ascii="仿宋_GB2312" w:hAnsi="仿宋_GB2312" w:eastAsia="仿宋_GB2312" w:cs="仿宋_GB2312"/>
          <w:color w:val="auto"/>
          <w:sz w:val="32"/>
          <w:szCs w:val="32"/>
          <w:lang w:eastAsia="zh-CN"/>
        </w:rPr>
        <w:t>和第八条</w:t>
      </w:r>
      <w:r>
        <w:rPr>
          <w:rFonts w:hint="eastAsia" w:ascii="仿宋_GB2312" w:hAnsi="仿宋_GB2312" w:eastAsia="仿宋_GB2312" w:cs="仿宋_GB2312"/>
          <w:color w:val="auto"/>
          <w:sz w:val="32"/>
          <w:szCs w:val="32"/>
        </w:rPr>
        <w:t>规定；</w:t>
      </w:r>
    </w:p>
    <w:p w14:paraId="282A465D">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（五）法定义务人具有了履行义务能力或者新增具有履行义务能力的法定义务人；</w:t>
      </w:r>
    </w:p>
    <w:p w14:paraId="2D463A97">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（六）自愿申请退出救助供养。</w:t>
      </w:r>
    </w:p>
    <w:p w14:paraId="59920047">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特困人员中的未成年人，可继续享有救助供养待遇至18周岁；年满18周岁仍在接受义务教育或者在普通高中、中等职业学校就读的，可继续享有救助供养待遇。</w:t>
      </w:r>
    </w:p>
    <w:p w14:paraId="7E8BFA6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第二十七条</w:t>
      </w:r>
      <w:r>
        <w:rPr>
          <w:rFonts w:hint="eastAsia" w:ascii="仿宋_GB2312" w:hAnsi="仿宋_GB2312" w:eastAsia="仿宋_GB2312" w:cs="仿宋_GB2312"/>
          <w:color w:val="auto"/>
          <w:sz w:val="32"/>
          <w:szCs w:val="32"/>
        </w:rPr>
        <w:t xml:space="preserve">  特困人员不再符合救助供养条件的，本人、照料服务人、</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或者供养服务机构应当及时告知</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人民政府，由</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人民政府调查核实核准。</w:t>
      </w:r>
    </w:p>
    <w:p w14:paraId="4D99459A">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人民政府在工作中发现特困人员不再符合救助供养条件的，应当及时办理终止救助供养手续。</w:t>
      </w:r>
    </w:p>
    <w:p w14:paraId="1ABD7494">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第二十八条</w:t>
      </w:r>
      <w:r>
        <w:rPr>
          <w:rFonts w:hint="eastAsia" w:ascii="仿宋_GB2312" w:hAnsi="仿宋_GB2312" w:eastAsia="仿宋_GB2312" w:cs="仿宋_GB2312"/>
          <w:color w:val="auto"/>
          <w:sz w:val="32"/>
          <w:szCs w:val="32"/>
        </w:rPr>
        <w:t xml:space="preserve">  对拟终止救助供养的特困人员，</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人民政府民政部门应当在其所在</w:t>
      </w:r>
      <w:r>
        <w:rPr>
          <w:rFonts w:hint="eastAsia" w:ascii="仿宋_GB2312" w:hAnsi="仿宋_GB2312" w:eastAsia="仿宋_GB2312" w:cs="仿宋_GB2312"/>
          <w:color w:val="auto"/>
          <w:sz w:val="32"/>
          <w:szCs w:val="32"/>
          <w:lang w:eastAsia="zh-CN"/>
        </w:rPr>
        <w:t>嘎查</w:t>
      </w:r>
      <w:r>
        <w:rPr>
          <w:rFonts w:hint="eastAsia" w:ascii="仿宋_GB2312" w:hAnsi="仿宋_GB2312" w:eastAsia="仿宋_GB2312" w:cs="仿宋_GB2312"/>
          <w:color w:val="auto"/>
          <w:sz w:val="32"/>
          <w:szCs w:val="32"/>
        </w:rPr>
        <w:t>（社区）或者供养服务机构公示。公示期为7天。</w:t>
      </w:r>
    </w:p>
    <w:p w14:paraId="37AA3F5C">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公示期满无异议的，</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人民政府民政部门应当作出终止决定并从下月起终止救助供养。对公示有异议的，</w:t>
      </w:r>
      <w:r>
        <w:rPr>
          <w:rFonts w:hint="eastAsia" w:ascii="仿宋_GB2312" w:hAnsi="仿宋_GB2312" w:eastAsia="仿宋_GB2312" w:cs="仿宋_GB2312"/>
          <w:color w:val="auto"/>
          <w:sz w:val="32"/>
          <w:szCs w:val="32"/>
          <w:lang w:eastAsia="zh-CN"/>
        </w:rPr>
        <w:t>苏木乡镇</w:t>
      </w:r>
      <w:r>
        <w:rPr>
          <w:rFonts w:hint="eastAsia" w:ascii="仿宋_GB2312" w:hAnsi="仿宋_GB2312" w:eastAsia="仿宋_GB2312" w:cs="仿宋_GB2312"/>
          <w:color w:val="auto"/>
          <w:sz w:val="32"/>
          <w:szCs w:val="32"/>
        </w:rPr>
        <w:t>人民政府民政部门应当组织调查核实，在15个工作日内作出是否终止救助供养决定，并重新公示。对决定终止救助供养的，应当将终止理由书面告知当事人、</w:t>
      </w:r>
      <w:r>
        <w:rPr>
          <w:rFonts w:hint="eastAsia" w:ascii="仿宋_GB2312" w:hAnsi="仿宋_GB2312" w:eastAsia="仿宋_GB2312" w:cs="仿宋_GB2312"/>
          <w:color w:val="auto"/>
          <w:sz w:val="32"/>
          <w:szCs w:val="32"/>
          <w:lang w:eastAsia="zh-CN"/>
        </w:rPr>
        <w:t>嘎查居民委员会</w:t>
      </w:r>
      <w:r>
        <w:rPr>
          <w:rFonts w:hint="eastAsia" w:ascii="仿宋_GB2312" w:hAnsi="仿宋_GB2312" w:eastAsia="仿宋_GB2312" w:cs="仿宋_GB2312"/>
          <w:color w:val="auto"/>
          <w:sz w:val="32"/>
          <w:szCs w:val="32"/>
        </w:rPr>
        <w:t>。</w:t>
      </w:r>
    </w:p>
    <w:p w14:paraId="731E25E2">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Times New Roman"/>
          <w:color w:val="auto"/>
          <w:sz w:val="32"/>
          <w:szCs w:val="32"/>
          <w:highlight w:val="none"/>
          <w:lang w:val="en-US" w:eastAsia="zh-CN"/>
        </w:rPr>
        <w:t xml:space="preserve">第二十九条  </w:t>
      </w:r>
      <w:r>
        <w:rPr>
          <w:rFonts w:hint="eastAsia" w:ascii="仿宋_GB2312" w:hAnsi="仿宋_GB2312" w:eastAsia="仿宋_GB2312" w:cs="仿宋_GB2312"/>
          <w:color w:val="auto"/>
          <w:sz w:val="32"/>
          <w:szCs w:val="32"/>
        </w:rPr>
        <w:t>对终止救助供养的原特困人员，符合最低生活保障、临时救助等其他社会救助条件的，应当按规定及时纳入相应救助范围。</w:t>
      </w:r>
    </w:p>
    <w:p w14:paraId="0D88C32C">
      <w:pPr>
        <w:keepNext w:val="0"/>
        <w:keepLines w:val="0"/>
        <w:pageBreakBefore w:val="0"/>
        <w:widowControl w:val="0"/>
        <w:kinsoku/>
        <w:wordWrap/>
        <w:overflowPunct/>
        <w:topLinePunct w:val="0"/>
        <w:autoSpaceDE/>
        <w:autoSpaceDN/>
        <w:bidi w:val="0"/>
        <w:adjustRightInd/>
        <w:snapToGrid/>
        <w:spacing w:line="960" w:lineRule="auto"/>
        <w:jc w:val="center"/>
        <w:textAlignment w:val="auto"/>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w:t>
      </w:r>
      <w:r>
        <w:rPr>
          <w:rFonts w:hint="eastAsia" w:ascii="黑体" w:hAnsi="黑体" w:eastAsia="黑体" w:cs="Times New Roman"/>
          <w:color w:val="auto"/>
          <w:sz w:val="36"/>
          <w:szCs w:val="36"/>
          <w:highlight w:val="none"/>
          <w:lang w:val="en-US" w:eastAsia="zh-CN"/>
        </w:rPr>
        <w:t>七</w:t>
      </w:r>
      <w:r>
        <w:rPr>
          <w:rFonts w:hint="eastAsia" w:ascii="黑体" w:hAnsi="黑体" w:eastAsia="黑体" w:cs="Times New Roman"/>
          <w:color w:val="auto"/>
          <w:sz w:val="36"/>
          <w:szCs w:val="36"/>
          <w:highlight w:val="none"/>
        </w:rPr>
        <w:t>章  附  则</w:t>
      </w:r>
    </w:p>
    <w:p w14:paraId="2024EADB">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Times New Roman"/>
          <w:color w:val="auto"/>
          <w:sz w:val="32"/>
          <w:szCs w:val="32"/>
          <w:highlight w:val="none"/>
          <w:lang w:val="en-US" w:eastAsia="zh-CN"/>
        </w:rPr>
        <w:t xml:space="preserve">第三十条  </w:t>
      </w:r>
      <w:r>
        <w:rPr>
          <w:rFonts w:hint="eastAsia" w:ascii="仿宋_GB2312" w:hAnsi="仿宋_GB2312" w:eastAsia="仿宋_GB2312" w:cs="仿宋_GB2312"/>
          <w:color w:val="auto"/>
          <w:sz w:val="32"/>
          <w:szCs w:val="32"/>
          <w:highlight w:val="none"/>
        </w:rPr>
        <w:t>特困人员实行定期核查，动态管理。</w:t>
      </w:r>
      <w:r>
        <w:rPr>
          <w:rFonts w:hint="eastAsia" w:ascii="仿宋_GB2312" w:hAnsi="仿宋_GB2312" w:eastAsia="仿宋_GB2312" w:cs="仿宋_GB2312"/>
          <w:color w:val="auto"/>
          <w:sz w:val="32"/>
          <w:szCs w:val="32"/>
          <w:highlight w:val="none"/>
          <w:lang w:val="en-US" w:eastAsia="zh-CN"/>
        </w:rPr>
        <w:t>苏木乡镇</w:t>
      </w:r>
      <w:r>
        <w:rPr>
          <w:rFonts w:hint="eastAsia" w:ascii="仿宋_GB2312" w:hAnsi="仿宋_GB2312" w:eastAsia="仿宋_GB2312" w:cs="仿宋_GB2312"/>
          <w:color w:val="auto"/>
          <w:sz w:val="32"/>
          <w:szCs w:val="32"/>
          <w:highlight w:val="none"/>
        </w:rPr>
        <w:t>人民政府应当每</w:t>
      </w:r>
      <w:r>
        <w:rPr>
          <w:rFonts w:hint="eastAsia" w:ascii="仿宋_GB2312" w:hAnsi="仿宋_GB2312" w:eastAsia="仿宋_GB2312" w:cs="仿宋_GB2312"/>
          <w:color w:val="auto"/>
          <w:sz w:val="32"/>
          <w:szCs w:val="32"/>
          <w:highlight w:val="none"/>
          <w:lang w:val="en-US" w:eastAsia="zh-CN"/>
        </w:rPr>
        <w:t>半</w:t>
      </w:r>
      <w:r>
        <w:rPr>
          <w:rFonts w:hint="eastAsia" w:ascii="仿宋_GB2312" w:hAnsi="仿宋_GB2312" w:eastAsia="仿宋_GB2312" w:cs="仿宋_GB2312"/>
          <w:color w:val="auto"/>
          <w:sz w:val="32"/>
          <w:szCs w:val="32"/>
          <w:highlight w:val="none"/>
        </w:rPr>
        <w:t>年开展一次</w:t>
      </w:r>
      <w:r>
        <w:rPr>
          <w:rFonts w:hint="eastAsia" w:ascii="仿宋_GB2312" w:hAnsi="仿宋_GB2312" w:eastAsia="仿宋_GB2312" w:cs="仿宋_GB2312"/>
          <w:color w:val="auto"/>
          <w:sz w:val="32"/>
          <w:szCs w:val="32"/>
          <w:highlight w:val="none"/>
          <w:lang w:val="en-US" w:eastAsia="zh-CN"/>
        </w:rPr>
        <w:t>经济状况信息化核对</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每年开展一次入户检查。</w:t>
      </w:r>
    </w:p>
    <w:p w14:paraId="5A0EB195">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color w:val="auto"/>
          <w:sz w:val="32"/>
          <w:szCs w:val="32"/>
          <w:lang w:eastAsia="zh-CN"/>
        </w:rPr>
      </w:pPr>
      <w:r>
        <w:rPr>
          <w:rFonts w:hint="eastAsia" w:ascii="黑体" w:hAnsi="黑体" w:eastAsia="黑体" w:cs="Times New Roman"/>
          <w:color w:val="auto"/>
          <w:sz w:val="32"/>
          <w:szCs w:val="32"/>
          <w:highlight w:val="none"/>
          <w:lang w:val="en-US" w:eastAsia="zh-CN"/>
        </w:rPr>
        <w:t>第三十一条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特困人员认定过程中，本实施细则未作出规定或不符合国家、自治区、呼伦贝尔市出台的最新政策规定的事项，按照国家和自治区、呼伦贝尔市有关规定执行。</w:t>
      </w:r>
    </w:p>
    <w:p w14:paraId="3CA470EE">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r>
        <w:rPr>
          <w:rFonts w:hint="eastAsia" w:ascii="黑体" w:hAnsi="黑体" w:eastAsia="黑体" w:cs="Times New Roman"/>
          <w:color w:val="auto"/>
          <w:sz w:val="32"/>
          <w:szCs w:val="32"/>
          <w:highlight w:val="none"/>
          <w:lang w:val="en-US" w:eastAsia="zh-CN"/>
        </w:rPr>
        <w:t>第三十二条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实施细则</w:t>
      </w:r>
      <w:r>
        <w:rPr>
          <w:rFonts w:hint="eastAsia" w:ascii="仿宋_GB2312" w:hAnsi="仿宋_GB2312" w:eastAsia="仿宋_GB2312" w:cs="仿宋_GB2312"/>
          <w:color w:val="auto"/>
          <w:sz w:val="32"/>
          <w:szCs w:val="32"/>
        </w:rPr>
        <w:t>自</w:t>
      </w:r>
      <w:r>
        <w:rPr>
          <w:rFonts w:hint="eastAsia" w:ascii="仿宋_GB2312" w:hAnsi="仿宋_GB2312" w:eastAsia="仿宋_GB2312" w:cs="仿宋_GB2312"/>
          <w:color w:val="auto"/>
          <w:sz w:val="32"/>
          <w:szCs w:val="32"/>
          <w:lang w:val="en-US" w:eastAsia="zh-CN"/>
        </w:rPr>
        <w:t>发布之日</w:t>
      </w:r>
      <w:r>
        <w:rPr>
          <w:rFonts w:hint="eastAsia" w:ascii="仿宋_GB2312" w:hAnsi="仿宋_GB2312" w:eastAsia="仿宋_GB2312" w:cs="仿宋_GB2312"/>
          <w:color w:val="auto"/>
          <w:sz w:val="32"/>
          <w:szCs w:val="32"/>
        </w:rPr>
        <w:t>起施行。</w:t>
      </w:r>
    </w:p>
    <w:p w14:paraId="6FDF2DF0">
      <w:pPr>
        <w:keepNext w:val="0"/>
        <w:keepLines w:val="0"/>
        <w:pageBreakBefore w:val="0"/>
        <w:widowControl w:val="0"/>
        <w:kinsoku/>
        <w:wordWrap/>
        <w:overflowPunct/>
        <w:topLinePunct w:val="0"/>
        <w:autoSpaceDE/>
        <w:autoSpaceDN/>
        <w:bidi w:val="0"/>
        <w:adjustRightInd/>
        <w:snapToGrid/>
        <w:spacing w:line="240" w:lineRule="auto"/>
        <w:textAlignment w:val="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FA05365-0823-474A-BA06-716E8A55038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9628A725-EF3A-4903-B479-F3B2F5E91CFC}"/>
  </w:font>
  <w:font w:name="方正大标宋_GBK">
    <w:altName w:val="宋体"/>
    <w:panose1 w:val="03000509000000000000"/>
    <w:charset w:val="86"/>
    <w:family w:val="script"/>
    <w:pitch w:val="default"/>
    <w:sig w:usb0="00000000" w:usb1="00000000" w:usb2="00000010" w:usb3="00000000" w:csb0="00040000" w:csb1="00000000"/>
    <w:embedRegular r:id="rId3" w:fontKey="{6D9EBFFF-8DE0-49FF-B56F-E392AB3403CD}"/>
  </w:font>
  <w:font w:name="方正小标宋简体">
    <w:panose1 w:val="03000509000000000000"/>
    <w:charset w:val="86"/>
    <w:family w:val="script"/>
    <w:pitch w:val="default"/>
    <w:sig w:usb0="00000001" w:usb1="080E0000" w:usb2="00000000" w:usb3="00000000" w:csb0="00040000" w:csb1="00000000"/>
    <w:embedRegular r:id="rId4" w:fontKey="{FDCA2D6D-B63A-4FAA-A366-AEF5DA37A619}"/>
  </w:font>
  <w:font w:name="方正楷体简体">
    <w:panose1 w:val="02000000000000000000"/>
    <w:charset w:val="86"/>
    <w:family w:val="script"/>
    <w:pitch w:val="default"/>
    <w:sig w:usb0="A00002BF" w:usb1="184F6CFA" w:usb2="00000012" w:usb3="00000000" w:csb0="00040001" w:csb1="00000000"/>
    <w:embedRegular r:id="rId5" w:fontKey="{233C2B75-2F12-40B5-8D65-8011AC2B746A}"/>
  </w:font>
  <w:font w:name="仿宋_GB2312">
    <w:panose1 w:val="02010609030101010101"/>
    <w:charset w:val="86"/>
    <w:family w:val="auto"/>
    <w:pitch w:val="default"/>
    <w:sig w:usb0="00000001" w:usb1="080E0000" w:usb2="00000000" w:usb3="00000000" w:csb0="00040000" w:csb1="00000000"/>
    <w:embedRegular r:id="rId6" w:fontKey="{B4CF3BCE-32B8-4F01-9DEA-835F2E55FDD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4E8EB">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C9E675">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3C9E675">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9C1486"/>
    <w:multiLevelType w:val="singleLevel"/>
    <w:tmpl w:val="D39C148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6D65DE"/>
    <w:rsid w:val="00395FEE"/>
    <w:rsid w:val="008D7BB7"/>
    <w:rsid w:val="00EB0010"/>
    <w:rsid w:val="016347D7"/>
    <w:rsid w:val="016F30CD"/>
    <w:rsid w:val="01DC0C1D"/>
    <w:rsid w:val="01EE218D"/>
    <w:rsid w:val="01FC36D0"/>
    <w:rsid w:val="02DA505C"/>
    <w:rsid w:val="03017751"/>
    <w:rsid w:val="0309038A"/>
    <w:rsid w:val="0336532B"/>
    <w:rsid w:val="035E0B9C"/>
    <w:rsid w:val="03685489"/>
    <w:rsid w:val="03A5356F"/>
    <w:rsid w:val="03BE6BB4"/>
    <w:rsid w:val="04436E0D"/>
    <w:rsid w:val="04EE6171"/>
    <w:rsid w:val="04F311AF"/>
    <w:rsid w:val="05161364"/>
    <w:rsid w:val="052A3888"/>
    <w:rsid w:val="073C65A3"/>
    <w:rsid w:val="081467CE"/>
    <w:rsid w:val="08A82FCC"/>
    <w:rsid w:val="08C6543B"/>
    <w:rsid w:val="09C36515"/>
    <w:rsid w:val="0A4A63EE"/>
    <w:rsid w:val="0AFB4013"/>
    <w:rsid w:val="0B0C4C1C"/>
    <w:rsid w:val="0B154F82"/>
    <w:rsid w:val="0B2A12DF"/>
    <w:rsid w:val="0C214C0C"/>
    <w:rsid w:val="0C2815BC"/>
    <w:rsid w:val="0C39369B"/>
    <w:rsid w:val="0C680F17"/>
    <w:rsid w:val="0C942E80"/>
    <w:rsid w:val="0D447CF4"/>
    <w:rsid w:val="0DDD238E"/>
    <w:rsid w:val="0F0E1EBF"/>
    <w:rsid w:val="0F311541"/>
    <w:rsid w:val="0FF3164A"/>
    <w:rsid w:val="104027CB"/>
    <w:rsid w:val="11206427"/>
    <w:rsid w:val="113C092E"/>
    <w:rsid w:val="11501174"/>
    <w:rsid w:val="11A3317D"/>
    <w:rsid w:val="11CF2D47"/>
    <w:rsid w:val="11E206E3"/>
    <w:rsid w:val="121015B2"/>
    <w:rsid w:val="125403A9"/>
    <w:rsid w:val="12D931F9"/>
    <w:rsid w:val="12F87573"/>
    <w:rsid w:val="13325CA1"/>
    <w:rsid w:val="135F6376"/>
    <w:rsid w:val="137707D4"/>
    <w:rsid w:val="13C76424"/>
    <w:rsid w:val="1422507A"/>
    <w:rsid w:val="144F0EEE"/>
    <w:rsid w:val="14FE07B5"/>
    <w:rsid w:val="1581352C"/>
    <w:rsid w:val="15D973D2"/>
    <w:rsid w:val="16017004"/>
    <w:rsid w:val="167801ED"/>
    <w:rsid w:val="16952236"/>
    <w:rsid w:val="17710C68"/>
    <w:rsid w:val="178928F1"/>
    <w:rsid w:val="17AD2451"/>
    <w:rsid w:val="17BD71FF"/>
    <w:rsid w:val="17EB450E"/>
    <w:rsid w:val="185270BB"/>
    <w:rsid w:val="189A58E9"/>
    <w:rsid w:val="18E959C8"/>
    <w:rsid w:val="19433422"/>
    <w:rsid w:val="197D395D"/>
    <w:rsid w:val="19962308"/>
    <w:rsid w:val="199D31C3"/>
    <w:rsid w:val="1A184E60"/>
    <w:rsid w:val="1A422421"/>
    <w:rsid w:val="1B5B4B1C"/>
    <w:rsid w:val="1BCC6073"/>
    <w:rsid w:val="1CF56512"/>
    <w:rsid w:val="1D00505A"/>
    <w:rsid w:val="1D1D31E6"/>
    <w:rsid w:val="1D274DFA"/>
    <w:rsid w:val="1D573933"/>
    <w:rsid w:val="1D6567C6"/>
    <w:rsid w:val="1DBC71D5"/>
    <w:rsid w:val="1E2D2CA7"/>
    <w:rsid w:val="1F3644C3"/>
    <w:rsid w:val="1F7F2436"/>
    <w:rsid w:val="1FA503EC"/>
    <w:rsid w:val="20463334"/>
    <w:rsid w:val="21053439"/>
    <w:rsid w:val="213E04F7"/>
    <w:rsid w:val="21494444"/>
    <w:rsid w:val="21C35049"/>
    <w:rsid w:val="22125E7F"/>
    <w:rsid w:val="22711340"/>
    <w:rsid w:val="228850B7"/>
    <w:rsid w:val="22992965"/>
    <w:rsid w:val="22BE6D2B"/>
    <w:rsid w:val="23437A88"/>
    <w:rsid w:val="236F0E9A"/>
    <w:rsid w:val="238511E6"/>
    <w:rsid w:val="23BF6EB5"/>
    <w:rsid w:val="24B009BC"/>
    <w:rsid w:val="25575CD2"/>
    <w:rsid w:val="2590132F"/>
    <w:rsid w:val="26143B06"/>
    <w:rsid w:val="263343BB"/>
    <w:rsid w:val="264F555C"/>
    <w:rsid w:val="267628A6"/>
    <w:rsid w:val="26FE57F5"/>
    <w:rsid w:val="28175856"/>
    <w:rsid w:val="28205D72"/>
    <w:rsid w:val="283C0E1E"/>
    <w:rsid w:val="28526934"/>
    <w:rsid w:val="28FB5AC8"/>
    <w:rsid w:val="2936242A"/>
    <w:rsid w:val="296D4B02"/>
    <w:rsid w:val="29870F2F"/>
    <w:rsid w:val="2A5E5F74"/>
    <w:rsid w:val="2B04391F"/>
    <w:rsid w:val="2BC04FE7"/>
    <w:rsid w:val="2C320B0E"/>
    <w:rsid w:val="2C661368"/>
    <w:rsid w:val="2C9F540B"/>
    <w:rsid w:val="2CC20675"/>
    <w:rsid w:val="2CE47C71"/>
    <w:rsid w:val="2E7E6154"/>
    <w:rsid w:val="2F797671"/>
    <w:rsid w:val="2FB24CD3"/>
    <w:rsid w:val="309A2FCC"/>
    <w:rsid w:val="30A75156"/>
    <w:rsid w:val="30D140CD"/>
    <w:rsid w:val="31594C51"/>
    <w:rsid w:val="31A876A2"/>
    <w:rsid w:val="342D50A6"/>
    <w:rsid w:val="34CA3391"/>
    <w:rsid w:val="34F07F1B"/>
    <w:rsid w:val="34F528F0"/>
    <w:rsid w:val="3560419E"/>
    <w:rsid w:val="35820439"/>
    <w:rsid w:val="36E011C4"/>
    <w:rsid w:val="370138CA"/>
    <w:rsid w:val="377E1056"/>
    <w:rsid w:val="37A91EAD"/>
    <w:rsid w:val="388D46D6"/>
    <w:rsid w:val="3907025B"/>
    <w:rsid w:val="3B60677A"/>
    <w:rsid w:val="3B77509E"/>
    <w:rsid w:val="3B9A3EAD"/>
    <w:rsid w:val="3BA37EBC"/>
    <w:rsid w:val="3CBE0C38"/>
    <w:rsid w:val="3D1E16C0"/>
    <w:rsid w:val="3E0D055A"/>
    <w:rsid w:val="3E0E6DE1"/>
    <w:rsid w:val="3E994A35"/>
    <w:rsid w:val="3EAB2235"/>
    <w:rsid w:val="407A60D5"/>
    <w:rsid w:val="42860F46"/>
    <w:rsid w:val="429576C9"/>
    <w:rsid w:val="436A67A8"/>
    <w:rsid w:val="43E9037B"/>
    <w:rsid w:val="44C147DB"/>
    <w:rsid w:val="45313B95"/>
    <w:rsid w:val="46095E0E"/>
    <w:rsid w:val="46194C2C"/>
    <w:rsid w:val="46897C17"/>
    <w:rsid w:val="474E044B"/>
    <w:rsid w:val="47A91720"/>
    <w:rsid w:val="48830B4B"/>
    <w:rsid w:val="48831983"/>
    <w:rsid w:val="4888388C"/>
    <w:rsid w:val="490877B8"/>
    <w:rsid w:val="4A22142F"/>
    <w:rsid w:val="4A67194D"/>
    <w:rsid w:val="4A856707"/>
    <w:rsid w:val="4B395215"/>
    <w:rsid w:val="4B427308"/>
    <w:rsid w:val="4BDD7BA7"/>
    <w:rsid w:val="4C60425D"/>
    <w:rsid w:val="4CA359F7"/>
    <w:rsid w:val="4CBA7DEE"/>
    <w:rsid w:val="4D183A0B"/>
    <w:rsid w:val="4D30676E"/>
    <w:rsid w:val="4D4C59B5"/>
    <w:rsid w:val="4D98024B"/>
    <w:rsid w:val="4DA66ACF"/>
    <w:rsid w:val="4F311AFC"/>
    <w:rsid w:val="4F744245"/>
    <w:rsid w:val="4F93631E"/>
    <w:rsid w:val="521A11BF"/>
    <w:rsid w:val="528F5696"/>
    <w:rsid w:val="53400FA2"/>
    <w:rsid w:val="537B293C"/>
    <w:rsid w:val="53851A96"/>
    <w:rsid w:val="539227A8"/>
    <w:rsid w:val="539C07A0"/>
    <w:rsid w:val="53B57F91"/>
    <w:rsid w:val="54227396"/>
    <w:rsid w:val="5485602F"/>
    <w:rsid w:val="552E65CF"/>
    <w:rsid w:val="55C95A07"/>
    <w:rsid w:val="55F66018"/>
    <w:rsid w:val="562532E3"/>
    <w:rsid w:val="566E2B23"/>
    <w:rsid w:val="569F6CEC"/>
    <w:rsid w:val="56DD3A77"/>
    <w:rsid w:val="570034BB"/>
    <w:rsid w:val="573C1E91"/>
    <w:rsid w:val="579212BC"/>
    <w:rsid w:val="57A46FD8"/>
    <w:rsid w:val="57D563D7"/>
    <w:rsid w:val="57DC462E"/>
    <w:rsid w:val="58B13440"/>
    <w:rsid w:val="5A2A0548"/>
    <w:rsid w:val="5A7A19B4"/>
    <w:rsid w:val="5AAD0254"/>
    <w:rsid w:val="5B081868"/>
    <w:rsid w:val="5B14567A"/>
    <w:rsid w:val="5CF11454"/>
    <w:rsid w:val="5D807D90"/>
    <w:rsid w:val="5D9E1667"/>
    <w:rsid w:val="5E0F16B3"/>
    <w:rsid w:val="5E766F86"/>
    <w:rsid w:val="5E8F3BEB"/>
    <w:rsid w:val="5EE611DF"/>
    <w:rsid w:val="5F0E7E34"/>
    <w:rsid w:val="5F491F3C"/>
    <w:rsid w:val="5FDF4359"/>
    <w:rsid w:val="604206A4"/>
    <w:rsid w:val="60B430B8"/>
    <w:rsid w:val="60C345CC"/>
    <w:rsid w:val="60E66A7A"/>
    <w:rsid w:val="60E94CBE"/>
    <w:rsid w:val="612742F0"/>
    <w:rsid w:val="61425189"/>
    <w:rsid w:val="618B7898"/>
    <w:rsid w:val="62CB0224"/>
    <w:rsid w:val="635B4290"/>
    <w:rsid w:val="64191C5A"/>
    <w:rsid w:val="64887113"/>
    <w:rsid w:val="64EA6A8F"/>
    <w:rsid w:val="65A645AF"/>
    <w:rsid w:val="65BC0577"/>
    <w:rsid w:val="660340CC"/>
    <w:rsid w:val="6653765E"/>
    <w:rsid w:val="66855EAC"/>
    <w:rsid w:val="68710A65"/>
    <w:rsid w:val="68CD31DE"/>
    <w:rsid w:val="6941113D"/>
    <w:rsid w:val="6A331379"/>
    <w:rsid w:val="6AB14817"/>
    <w:rsid w:val="6BFA7F30"/>
    <w:rsid w:val="6C404029"/>
    <w:rsid w:val="6C496EB7"/>
    <w:rsid w:val="6C7402DA"/>
    <w:rsid w:val="6C860F1A"/>
    <w:rsid w:val="6D6D65DE"/>
    <w:rsid w:val="6D932351"/>
    <w:rsid w:val="6D953EAD"/>
    <w:rsid w:val="6DDF2A40"/>
    <w:rsid w:val="6DE6435A"/>
    <w:rsid w:val="6E112C1F"/>
    <w:rsid w:val="6E4224F5"/>
    <w:rsid w:val="6E663838"/>
    <w:rsid w:val="6E7D4C68"/>
    <w:rsid w:val="6E983EB6"/>
    <w:rsid w:val="6F5F19C8"/>
    <w:rsid w:val="6F9B1665"/>
    <w:rsid w:val="70714D08"/>
    <w:rsid w:val="71636A9A"/>
    <w:rsid w:val="71893569"/>
    <w:rsid w:val="71A97A0B"/>
    <w:rsid w:val="71B8501F"/>
    <w:rsid w:val="720C094E"/>
    <w:rsid w:val="723A2BE4"/>
    <w:rsid w:val="725F3097"/>
    <w:rsid w:val="73AB5EC8"/>
    <w:rsid w:val="73D61352"/>
    <w:rsid w:val="74447BCC"/>
    <w:rsid w:val="746F1200"/>
    <w:rsid w:val="74C4399D"/>
    <w:rsid w:val="74CD6A3D"/>
    <w:rsid w:val="756E1C38"/>
    <w:rsid w:val="75FE2420"/>
    <w:rsid w:val="76FF6B4B"/>
    <w:rsid w:val="773B30C1"/>
    <w:rsid w:val="783C589D"/>
    <w:rsid w:val="784D123E"/>
    <w:rsid w:val="78F76C86"/>
    <w:rsid w:val="79A00398"/>
    <w:rsid w:val="7A4A4FAE"/>
    <w:rsid w:val="7A5101BC"/>
    <w:rsid w:val="7A5E1AFB"/>
    <w:rsid w:val="7B361733"/>
    <w:rsid w:val="7B49333C"/>
    <w:rsid w:val="7B5D6F49"/>
    <w:rsid w:val="7B6569FF"/>
    <w:rsid w:val="7C5504B0"/>
    <w:rsid w:val="7D391DFD"/>
    <w:rsid w:val="7E014D45"/>
    <w:rsid w:val="7E555D94"/>
    <w:rsid w:val="7F284612"/>
    <w:rsid w:val="7FBD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Body text|1"/>
    <w:basedOn w:val="1"/>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5687</Words>
  <Characters>5705</Characters>
  <Lines>0</Lines>
  <Paragraphs>0</Paragraphs>
  <TotalTime>10</TotalTime>
  <ScaleCrop>false</ScaleCrop>
  <LinksUpToDate>false</LinksUpToDate>
  <CharactersWithSpaces>5786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2023-02-06T01:33:00Z</dcterms:created>
  <dc:creator>WPS_1559531708</dc:creator>
  <cp:lastModifiedBy>潤℃</cp:lastModifiedBy>
  <dcterms:modified xsi:type="dcterms:W3CDTF">2025-07-04T07:40:25Z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eyJoZGlkIjoiMjc0MjJmMzU3ODNjYjEzYjI5N2VlZjJkNDBlODYxMzciLCJ1c2VySWQiOiIzOTA3NjE0MTAifQ==</vt:lpwstr>
  </property>
  <property fmtid="{D5CDD505-2E9C-101B-9397-08002B2CF9AE}" pid="4" name="ICV">
    <vt:lpwstr>693593F05D4E465483656B2B273BF20B_12</vt:lpwstr>
  </property>
</Properties>
</file>