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color w:val="auto"/>
          <w:sz w:val="44"/>
          <w:szCs w:val="44"/>
          <w:lang w:val="en-US" w:eastAsia="zh-CN"/>
        </w:rPr>
      </w:pPr>
    </w:p>
    <w:p>
      <w:pPr>
        <w:jc w:val="center"/>
        <w:rPr>
          <w:rFonts w:hint="eastAsia" w:ascii="黑体" w:eastAsia="黑体"/>
          <w:sz w:val="36"/>
          <w:szCs w:val="30"/>
        </w:rPr>
      </w:pPr>
      <w:r>
        <w:rPr>
          <w:rFonts w:hint="eastAsia" w:ascii="黑体" w:eastAsia="黑体"/>
          <w:sz w:val="36"/>
          <w:szCs w:val="30"/>
        </w:rPr>
        <w:t>鄂温克旗20</w:t>
      </w:r>
      <w:r>
        <w:rPr>
          <w:rFonts w:hint="eastAsia" w:ascii="黑体" w:eastAsia="黑体"/>
          <w:sz w:val="36"/>
          <w:szCs w:val="30"/>
          <w:lang w:val="en-US" w:eastAsia="zh-CN"/>
        </w:rPr>
        <w:t>22</w:t>
      </w:r>
      <w:r>
        <w:rPr>
          <w:rFonts w:hint="eastAsia" w:ascii="黑体" w:eastAsia="黑体"/>
          <w:sz w:val="36"/>
          <w:szCs w:val="30"/>
        </w:rPr>
        <w:t>年末地方政府性债务情况说明及2</w:t>
      </w:r>
      <w:r>
        <w:rPr>
          <w:rFonts w:hint="eastAsia" w:ascii="黑体" w:eastAsia="黑体"/>
          <w:sz w:val="36"/>
          <w:szCs w:val="30"/>
          <w:lang w:val="en-US" w:eastAsia="zh-CN"/>
        </w:rPr>
        <w:t>023</w:t>
      </w:r>
      <w:r>
        <w:rPr>
          <w:rFonts w:hint="eastAsia" w:ascii="黑体" w:eastAsia="黑体"/>
          <w:sz w:val="36"/>
          <w:szCs w:val="30"/>
        </w:rPr>
        <w:t>年旗本级预算关于政府性债务安排情况说明</w:t>
      </w:r>
    </w:p>
    <w:p>
      <w:pPr>
        <w:jc w:val="center"/>
        <w:rPr>
          <w:rFonts w:hint="eastAsia" w:asciiTheme="majorEastAsia" w:hAnsiTheme="majorEastAsia" w:eastAsiaTheme="majorEastAsia" w:cstheme="majorEastAsia"/>
          <w:color w:val="auto"/>
          <w:sz w:val="44"/>
          <w:szCs w:val="44"/>
          <w:lang w:eastAsia="zh-CN"/>
        </w:rPr>
      </w:pPr>
    </w:p>
    <w:p>
      <w:pPr>
        <w:ind w:firstLine="640"/>
        <w:rPr>
          <w:rFonts w:hint="eastAsia" w:ascii="仿宋_GB2312" w:hAnsi="仿宋_GB2312" w:eastAsia="仿宋_GB2312" w:cs="仿宋_GB2312"/>
          <w:color w:val="auto"/>
          <w:sz w:val="32"/>
          <w:szCs w:val="32"/>
          <w:lang w:val="en-US" w:eastAsia="zh-CN"/>
        </w:rPr>
      </w:pPr>
      <w:bookmarkStart w:id="0" w:name="_GoBack"/>
      <w:bookmarkEnd w:id="0"/>
      <w:r>
        <w:rPr>
          <w:rFonts w:hint="eastAsia" w:ascii="仿宋_GB2312" w:hAnsi="仿宋_GB2312" w:eastAsia="仿宋_GB2312" w:cs="仿宋_GB2312"/>
          <w:color w:val="auto"/>
          <w:sz w:val="32"/>
          <w:szCs w:val="32"/>
          <w:lang w:val="en-US" w:eastAsia="zh-CN"/>
        </w:rPr>
        <w:t>为贯彻落实《中共中央 国务院关于防范化解地方政府隐性债务风险的意见》（中发﹝2018﹞27号）精神，2022年我旗进一步加强防范化解地方政府债务风险工作，落实地方党委和政府管控债务规模、规范债务管理、防范化解风险的主体责任。根据会议要求，现本年度政府债务工作情况作如下汇报：</w:t>
      </w:r>
    </w:p>
    <w:p>
      <w:p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一、2022年工作开展情况。</w:t>
      </w:r>
    </w:p>
    <w:p>
      <w:pPr>
        <w:pStyle w:val="2"/>
        <w:rPr>
          <w:rFonts w:hint="eastAsia"/>
          <w:lang w:val="en-US" w:eastAsia="zh-CN"/>
        </w:rPr>
      </w:pPr>
    </w:p>
    <w:p>
      <w:p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（一）地方政府系统内债务化解情况</w:t>
      </w:r>
    </w:p>
    <w:p>
      <w:pPr>
        <w:ind w:firstLine="640"/>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2022年，化解地方政府系统内债务0.73亿元（全部为再融资债券还本）。当年新增政府债券2.36亿元：其中新增一般债券2.17亿元，主要涉及公路、市政建设、政权建设、文化、社会保障、农林水利建设等项目；新增专项债券0.19亿，为乡镇卫生院建设项目。2022年末地方政府系统内债务余额19.33亿元。</w:t>
      </w:r>
    </w:p>
    <w:p>
      <w:pPr>
        <w:pStyle w:val="2"/>
        <w:rPr>
          <w:rFonts w:hint="eastAsia"/>
          <w:lang w:val="en-US" w:eastAsia="zh-CN"/>
        </w:rPr>
      </w:pPr>
    </w:p>
    <w:p>
      <w:pPr>
        <w:ind w:firstLine="64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（二）地方政府隐性债务化债情况</w:t>
      </w:r>
    </w:p>
    <w:p>
      <w:pPr>
        <w:ind w:firstLine="64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根据《鄂温克旗隐性债务化解实施方案》安排2022年我旗隐性化债目标29975万元。截至12月底累计化解债务18817万元（化债方式：一般公共预算收入安排6539万元，政府性基金安排9442万元，</w:t>
      </w:r>
      <w:r>
        <w:rPr>
          <w:rFonts w:hint="eastAsia"/>
          <w:sz w:val="32"/>
          <w:szCs w:val="32"/>
          <w:lang w:val="en-US" w:eastAsia="zh-CN"/>
        </w:rPr>
        <w:t>核销2836万元</w:t>
      </w:r>
      <w:r>
        <w:rPr>
          <w:rFonts w:hint="eastAsia" w:ascii="仿宋_GB2312" w:hAnsi="仿宋_GB2312" w:eastAsia="仿宋_GB2312" w:cs="仿宋_GB2312"/>
          <w:b w:val="0"/>
          <w:bCs w:val="0"/>
          <w:color w:val="auto"/>
          <w:sz w:val="32"/>
          <w:szCs w:val="32"/>
          <w:lang w:val="en-US" w:eastAsia="zh-CN"/>
        </w:rPr>
        <w:t>），完成2022年化债目标的62.78%，其中实质性化债额度为15981万元，占化债总额84.93%。</w:t>
      </w:r>
    </w:p>
    <w:p>
      <w:pPr>
        <w:numPr>
          <w:ilvl w:val="0"/>
          <w:numId w:val="0"/>
        </w:num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sz w:val="32"/>
          <w:szCs w:val="32"/>
          <w:lang w:val="en-US" w:eastAsia="zh-CN"/>
        </w:rPr>
        <w:t>截止2022年12月底，全旗政府隐性债务余额为31.21亿元。按债权类型分，其中：棚改类债务余额为21.63亿元、其他类债务余额为9.58亿元。按债权人分，其中：各类金融机构</w:t>
      </w:r>
      <w:r>
        <w:rPr>
          <w:rFonts w:hint="eastAsia" w:ascii="仿宋_GB2312" w:hAnsi="仿宋_GB2312" w:eastAsia="仿宋_GB2312" w:cs="仿宋_GB2312"/>
          <w:b w:val="0"/>
          <w:bCs w:val="0"/>
          <w:color w:val="auto"/>
          <w:sz w:val="32"/>
          <w:szCs w:val="32"/>
          <w:lang w:val="en-US" w:eastAsia="zh-CN"/>
        </w:rPr>
        <w:t>为31亿元，上级财政部门0.17亿元，拖欠民营企业为0.04亿元。</w:t>
      </w:r>
    </w:p>
    <w:p>
      <w:pPr>
        <w:pStyle w:val="2"/>
        <w:rPr>
          <w:rFonts w:hint="eastAsia"/>
          <w:lang w:val="en-US" w:eastAsia="zh-CN"/>
        </w:rPr>
      </w:pPr>
    </w:p>
    <w:p>
      <w:p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二、政府债务管理中存在的问题。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eastAsia="zh-CN"/>
        </w:rPr>
        <w:t>（一</w:t>
      </w:r>
      <w:r>
        <w:rPr>
          <w:rFonts w:hint="eastAsia" w:ascii="楷体_GB2312" w:hAnsi="楷体_GB2312" w:eastAsia="楷体_GB2312" w:cs="楷体_GB2312"/>
          <w:b w:val="0"/>
          <w:bCs w:val="0"/>
          <w:sz w:val="32"/>
          <w:szCs w:val="32"/>
        </w:rPr>
        <w:t>）存在问题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 w:eastAsia="仿宋_GB2312" w:cs="仿宋_GB2312"/>
          <w:snapToGrid w:val="0"/>
          <w:kern w:val="0"/>
          <w:sz w:val="32"/>
          <w:szCs w:val="32"/>
          <w:lang w:val="en-US" w:eastAsia="zh-CN"/>
        </w:rPr>
      </w:pPr>
      <w:r>
        <w:rPr>
          <w:rFonts w:hint="eastAsia" w:ascii="仿宋_GB2312" w:hAnsi="仿宋" w:eastAsia="仿宋_GB2312" w:cs="仿宋_GB2312"/>
          <w:snapToGrid w:val="0"/>
          <w:kern w:val="0"/>
          <w:sz w:val="32"/>
          <w:szCs w:val="32"/>
          <w:lang w:val="en-US" w:eastAsia="zh-CN"/>
        </w:rPr>
        <w:t>1、财政收支矛盾日益尖锐问题异常突出。2015—2019年，鄂温克旗一般公共预算收入平均增长为-8.4%，而同期一般公共预算支出增长5.37%，财力收入与支出需求不匹配。现有财力在满足“三保”支出方面已然捉襟见肘、入不敷出，再无财力用于未来十年的还本付息任务，也就是每个年度财力缺口近5亿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 w:eastAsia="仿宋_GB2312" w:cs="仿宋_GB2312"/>
          <w:snapToGrid w:val="0"/>
          <w:kern w:val="0"/>
          <w:sz w:val="32"/>
          <w:szCs w:val="32"/>
          <w:lang w:val="en-US" w:eastAsia="zh-CN"/>
        </w:rPr>
      </w:pPr>
      <w:r>
        <w:rPr>
          <w:rFonts w:hint="eastAsia" w:ascii="仿宋_GB2312" w:hAnsi="仿宋" w:eastAsia="仿宋_GB2312" w:cs="仿宋_GB2312"/>
          <w:snapToGrid w:val="0"/>
          <w:kern w:val="0"/>
          <w:sz w:val="32"/>
          <w:szCs w:val="32"/>
          <w:lang w:val="en-US" w:eastAsia="zh-CN"/>
        </w:rPr>
        <w:t>2、化债资金来源较单一。运用新思维新理念探索化债路径和模式存在着的较大差距。在PPP模式方面普遍存在学习能力和运用能力不足的问题，我旗至今未能实现真正破题；资产资源变现方面对政策研究不深不透推进不力，对化债工作贡献度较低；对平滑财政支出新机制探索不足研究不够，积极争取主动作为方面尚需加强。化解方案中提到的化解方式在实际化债工作中真正起到作用的不多，主要依靠审价核减及核销方式，实质性化债中除预算安排外，盘活存量资金与资产资源成效不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 w:eastAsia="仿宋_GB2312" w:cs="仿宋_GB2312"/>
          <w:snapToGrid w:val="0"/>
          <w:kern w:val="0"/>
          <w:sz w:val="32"/>
          <w:szCs w:val="32"/>
          <w:lang w:val="en-US" w:eastAsia="zh-CN"/>
        </w:rPr>
      </w:pPr>
      <w:r>
        <w:rPr>
          <w:rFonts w:hint="eastAsia" w:ascii="仿宋_GB2312" w:hAnsi="仿宋" w:eastAsia="仿宋_GB2312" w:cs="仿宋_GB2312"/>
          <w:snapToGrid w:val="0"/>
          <w:kern w:val="0"/>
          <w:sz w:val="32"/>
          <w:szCs w:val="32"/>
          <w:lang w:val="en-US" w:eastAsia="zh-CN"/>
        </w:rPr>
        <w:t>3、偿债能力不足。以2020年为例，鄂温克旗一般公共预算总财力为24.88亿元，除去用于“三保”支出20亿元，还要保障上级及本级重大项目建设，除此以外可用于化解债务的资金非常有限，同时我旗已进入持续近十年的还本付息高峰期，年均还本付息达4.5亿元左右，致使偿债能力更加薄弱。</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 w:eastAsia="仿宋_GB2312" w:cs="仿宋_GB2312"/>
          <w:snapToGrid w:val="0"/>
          <w:kern w:val="0"/>
          <w:sz w:val="32"/>
          <w:szCs w:val="32"/>
          <w:lang w:val="en-US" w:eastAsia="zh-CN"/>
        </w:rPr>
      </w:pPr>
      <w:r>
        <w:rPr>
          <w:rFonts w:hint="eastAsia" w:ascii="仿宋_GB2312" w:hAnsi="仿宋" w:eastAsia="仿宋_GB2312" w:cs="仿宋_GB2312"/>
          <w:snapToGrid w:val="0"/>
          <w:kern w:val="0"/>
          <w:sz w:val="32"/>
          <w:szCs w:val="32"/>
          <w:lang w:val="en-US" w:eastAsia="zh-CN"/>
        </w:rPr>
        <w:t>4、化债方案与实际还本之间相互矛盾。按照十年化债方案的要求必须提前对棚改债务进行提前偿还，2019-2027年偿还本金26.27亿元，每年偿还本金约2.63亿元左右，按照合同约定，棚户区改造贷款2019-2027年需偿还本金8.3亿元，每年偿还约0.92亿元；2028年及以后偿还本金约17.97亿元。化债方案与实际还本之间存在很大矛盾，即便债权人同意，势必将支付一定数量的违约金，增加化债成本。若债权人不同意提前偿还该类债务，导致化债方案无法得到有效执行。</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楷体_GB2312" w:hAnsi="楷体_GB2312" w:eastAsia="楷体_GB2312" w:cs="楷体_GB2312"/>
          <w:b w:val="0"/>
          <w:bCs w:val="0"/>
          <w:sz w:val="32"/>
          <w:szCs w:val="32"/>
          <w:lang w:eastAsia="zh-CN"/>
        </w:rPr>
      </w:pPr>
      <w:r>
        <w:rPr>
          <w:rFonts w:hint="eastAsia" w:ascii="楷体_GB2312" w:hAnsi="楷体_GB2312" w:eastAsia="楷体_GB2312" w:cs="楷体_GB2312"/>
          <w:b w:val="0"/>
          <w:bCs w:val="0"/>
          <w:sz w:val="32"/>
          <w:szCs w:val="32"/>
          <w:lang w:eastAsia="zh-CN"/>
        </w:rPr>
        <w:t>三、</w:t>
      </w:r>
      <w:r>
        <w:rPr>
          <w:rFonts w:hint="eastAsia" w:ascii="楷体_GB2312" w:hAnsi="楷体_GB2312" w:eastAsia="楷体_GB2312" w:cs="楷体_GB2312"/>
          <w:b w:val="0"/>
          <w:bCs w:val="0"/>
          <w:sz w:val="32"/>
          <w:szCs w:val="32"/>
        </w:rPr>
        <w:t>下一步工作</w:t>
      </w:r>
      <w:r>
        <w:rPr>
          <w:rFonts w:hint="eastAsia" w:ascii="楷体_GB2312" w:hAnsi="楷体_GB2312" w:eastAsia="楷体_GB2312" w:cs="楷体_GB2312"/>
          <w:b w:val="0"/>
          <w:bCs w:val="0"/>
          <w:sz w:val="32"/>
          <w:szCs w:val="32"/>
          <w:lang w:eastAsia="zh-CN"/>
        </w:rPr>
        <w:t>安排</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b w:val="0"/>
          <w:bCs w:val="0"/>
          <w:sz w:val="32"/>
          <w:szCs w:val="32"/>
        </w:rPr>
        <w:t>稳步推进化债工作。</w:t>
      </w:r>
      <w:r>
        <w:rPr>
          <w:rFonts w:hint="eastAsia" w:ascii="仿宋_GB2312" w:hAnsi="仿宋_GB2312" w:eastAsia="仿宋_GB2312" w:cs="仿宋_GB2312"/>
          <w:sz w:val="32"/>
          <w:szCs w:val="32"/>
        </w:rPr>
        <w:t>目前，各</w:t>
      </w:r>
      <w:r>
        <w:rPr>
          <w:rFonts w:hint="eastAsia" w:ascii="仿宋_GB2312" w:hAnsi="仿宋_GB2312" w:eastAsia="仿宋_GB2312" w:cs="仿宋_GB2312"/>
          <w:sz w:val="32"/>
          <w:szCs w:val="32"/>
          <w:lang w:eastAsia="zh-CN"/>
        </w:rPr>
        <w:t>部门债务基础信息、数据及</w:t>
      </w:r>
      <w:r>
        <w:rPr>
          <w:rFonts w:hint="eastAsia" w:ascii="仿宋_GB2312" w:hAnsi="仿宋_GB2312" w:eastAsia="仿宋_GB2312" w:cs="仿宋_GB2312"/>
          <w:sz w:val="32"/>
          <w:szCs w:val="32"/>
        </w:rPr>
        <w:t>化</w:t>
      </w:r>
      <w:r>
        <w:rPr>
          <w:rFonts w:hint="eastAsia" w:ascii="仿宋_GB2312" w:hAnsi="仿宋_GB2312" w:eastAsia="仿宋_GB2312" w:cs="仿宋_GB2312"/>
          <w:sz w:val="32"/>
          <w:szCs w:val="32"/>
          <w:lang w:eastAsia="zh-CN"/>
        </w:rPr>
        <w:t>债</w:t>
      </w:r>
      <w:r>
        <w:rPr>
          <w:rFonts w:hint="eastAsia" w:ascii="仿宋_GB2312" w:hAnsi="仿宋_GB2312" w:eastAsia="仿宋_GB2312" w:cs="仿宋_GB2312"/>
          <w:sz w:val="32"/>
          <w:szCs w:val="32"/>
        </w:rPr>
        <w:t>情况</w:t>
      </w:r>
      <w:r>
        <w:rPr>
          <w:rFonts w:hint="eastAsia" w:ascii="仿宋_GB2312" w:hAnsi="仿宋_GB2312" w:eastAsia="仿宋_GB2312" w:cs="仿宋_GB2312"/>
          <w:sz w:val="32"/>
          <w:szCs w:val="32"/>
          <w:lang w:eastAsia="zh-CN"/>
        </w:rPr>
        <w:t>录入监控系统，</w:t>
      </w:r>
      <w:r>
        <w:rPr>
          <w:rFonts w:hint="eastAsia" w:ascii="仿宋_GB2312" w:hAnsi="仿宋_GB2312" w:eastAsia="仿宋_GB2312" w:cs="仿宋_GB2312"/>
          <w:sz w:val="32"/>
          <w:szCs w:val="32"/>
        </w:rPr>
        <w:t>但不排除有</w:t>
      </w:r>
      <w:r>
        <w:rPr>
          <w:rFonts w:hint="eastAsia" w:ascii="仿宋_GB2312" w:hAnsi="仿宋_GB2312" w:eastAsia="仿宋_GB2312" w:cs="仿宋_GB2312"/>
          <w:sz w:val="32"/>
          <w:szCs w:val="32"/>
          <w:lang w:eastAsia="zh-CN"/>
        </w:rPr>
        <w:t>因</w:t>
      </w:r>
      <w:r>
        <w:rPr>
          <w:rFonts w:hint="eastAsia" w:ascii="仿宋_GB2312" w:hAnsi="仿宋_GB2312" w:eastAsia="仿宋_GB2312" w:cs="仿宋_GB2312"/>
          <w:sz w:val="32"/>
          <w:szCs w:val="32"/>
        </w:rPr>
        <w:t>操作不规范</w:t>
      </w:r>
      <w:r>
        <w:rPr>
          <w:rFonts w:hint="eastAsia" w:ascii="仿宋_GB2312" w:hAnsi="仿宋_GB2312" w:eastAsia="仿宋_GB2312" w:cs="仿宋_GB2312"/>
          <w:sz w:val="32"/>
          <w:szCs w:val="32"/>
          <w:lang w:eastAsia="zh-CN"/>
        </w:rPr>
        <w:t>造成</w:t>
      </w:r>
      <w:r>
        <w:rPr>
          <w:rFonts w:hint="eastAsia" w:ascii="仿宋_GB2312" w:hAnsi="仿宋_GB2312" w:eastAsia="仿宋_GB2312" w:cs="仿宋_GB2312"/>
          <w:sz w:val="32"/>
          <w:szCs w:val="32"/>
        </w:rPr>
        <w:t>个别数据失真</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情况，因此</w:t>
      </w:r>
      <w:r>
        <w:rPr>
          <w:rFonts w:hint="eastAsia" w:ascii="仿宋_GB2312" w:hAnsi="仿宋_GB2312" w:eastAsia="仿宋_GB2312" w:cs="仿宋_GB2312"/>
          <w:sz w:val="32"/>
          <w:szCs w:val="32"/>
          <w:lang w:eastAsia="zh-CN"/>
        </w:rPr>
        <w:t>下一步</w:t>
      </w:r>
      <w:r>
        <w:rPr>
          <w:rFonts w:hint="eastAsia" w:ascii="仿宋_GB2312" w:hAnsi="仿宋_GB2312" w:eastAsia="仿宋_GB2312" w:cs="仿宋_GB2312"/>
          <w:sz w:val="32"/>
          <w:szCs w:val="32"/>
        </w:rPr>
        <w:t>要</w:t>
      </w:r>
      <w:r>
        <w:rPr>
          <w:rFonts w:hint="eastAsia" w:ascii="仿宋_GB2312" w:hAnsi="仿宋_GB2312" w:eastAsia="仿宋_GB2312" w:cs="仿宋_GB2312"/>
          <w:sz w:val="32"/>
          <w:szCs w:val="32"/>
          <w:lang w:eastAsia="zh-CN"/>
        </w:rPr>
        <w:t>结合</w:t>
      </w:r>
      <w:r>
        <w:rPr>
          <w:rFonts w:hint="eastAsia" w:ascii="仿宋_GB2312" w:hAnsi="仿宋_GB2312" w:eastAsia="仿宋_GB2312" w:cs="仿宋_GB2312"/>
          <w:sz w:val="32"/>
          <w:szCs w:val="32"/>
        </w:rPr>
        <w:t>规范做好隐性债务统计变动工作</w:t>
      </w:r>
      <w:r>
        <w:rPr>
          <w:rFonts w:hint="eastAsia" w:ascii="仿宋_GB2312" w:hAnsi="仿宋_GB2312" w:eastAsia="仿宋_GB2312" w:cs="仿宋_GB2312"/>
          <w:sz w:val="32"/>
          <w:szCs w:val="32"/>
          <w:lang w:eastAsia="zh-CN"/>
        </w:rPr>
        <w:t>要求，进一步完善数据的真实性和准确性，为今后的化债工作提供可靠的基础保障</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在化解债务的同时还要将</w:t>
      </w:r>
      <w:r>
        <w:rPr>
          <w:rFonts w:hint="eastAsia" w:ascii="仿宋_GB2312" w:hAnsi="仿宋_GB2312" w:eastAsia="仿宋_GB2312" w:cs="仿宋_GB2312"/>
          <w:sz w:val="32"/>
          <w:szCs w:val="32"/>
        </w:rPr>
        <w:t>限额内债务利息和隐性债务利息优先纳入偿债计划，逐笔确定清偿时间、资金来源和责任主体</w:t>
      </w:r>
      <w:r>
        <w:rPr>
          <w:rFonts w:hint="eastAsia" w:ascii="仿宋_GB2312" w:hAnsi="仿宋_GB2312" w:eastAsia="仿宋_GB2312" w:cs="仿宋_GB2312"/>
          <w:sz w:val="32"/>
          <w:szCs w:val="32"/>
          <w:lang w:eastAsia="zh-CN"/>
        </w:rPr>
        <w:t>，确保不出现逾期问题</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textAlignment w:val="auto"/>
        <w:outlineLvl w:val="9"/>
        <w:rPr>
          <w:rFonts w:hint="eastAsia" w:ascii="仿宋_GB2312" w:hAnsi="仿宋_GB2312" w:eastAsia="仿宋_GB2312" w:cs="仿宋_GB2312"/>
          <w:w w:val="95"/>
          <w:sz w:val="32"/>
          <w:szCs w:val="32"/>
          <w:lang w:eastAsia="zh-CN"/>
        </w:rPr>
      </w:pPr>
      <w:r>
        <w:rPr>
          <w:rFonts w:hint="eastAsia" w:ascii="仿宋_GB2312" w:hAnsi="仿宋_GB2312" w:eastAsia="仿宋_GB2312" w:cs="仿宋_GB2312"/>
          <w:b/>
          <w:bCs/>
          <w:sz w:val="32"/>
          <w:szCs w:val="32"/>
        </w:rPr>
        <w:t>二是</w:t>
      </w:r>
      <w:r>
        <w:rPr>
          <w:rFonts w:hint="eastAsia" w:ascii="仿宋_GB2312" w:hAnsi="仿宋_GB2312" w:eastAsia="仿宋_GB2312" w:cs="仿宋_GB2312"/>
          <w:b w:val="0"/>
          <w:bCs w:val="0"/>
          <w:sz w:val="32"/>
          <w:szCs w:val="32"/>
        </w:rPr>
        <w:t>努力筹措化债资金。</w:t>
      </w:r>
      <w:r>
        <w:rPr>
          <w:rFonts w:hint="eastAsia" w:ascii="仿宋_GB2312" w:hAnsi="仿宋_GB2312" w:eastAsia="仿宋_GB2312" w:cs="仿宋_GB2312"/>
          <w:sz w:val="32"/>
          <w:szCs w:val="32"/>
        </w:rPr>
        <w:t>合理利用上级专项、政府新增债券资金，加大建设用地整理力度，利用存量土地、资源资产整合处置变现等手段积极筹措资金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继续积极争取均衡性转移支付、生态功能转移支付、民族地区转移支付等一般性转移支付，力争在一般性转移支付整体额度上能够达到呼伦贝尔市所有旗市区平均线以上。</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三是</w:t>
      </w:r>
      <w:r>
        <w:rPr>
          <w:rFonts w:hint="eastAsia" w:ascii="仿宋_GB2312" w:hAnsi="仿宋_GB2312" w:eastAsia="仿宋_GB2312" w:cs="仿宋_GB2312"/>
          <w:b w:val="0"/>
          <w:bCs w:val="0"/>
          <w:sz w:val="32"/>
          <w:szCs w:val="32"/>
        </w:rPr>
        <w:t>进一步加强各级党委和政府领导，落实主体责任，统筹谋划，精心组织，把工作做</w:t>
      </w:r>
      <w:r>
        <w:rPr>
          <w:rFonts w:hint="eastAsia" w:ascii="仿宋_GB2312" w:hAnsi="仿宋_GB2312" w:eastAsia="仿宋_GB2312" w:cs="仿宋_GB2312"/>
          <w:b w:val="0"/>
          <w:bCs w:val="0"/>
          <w:sz w:val="32"/>
          <w:szCs w:val="32"/>
          <w:lang w:eastAsia="zh-CN"/>
        </w:rPr>
        <w:t>实</w:t>
      </w:r>
      <w:r>
        <w:rPr>
          <w:rFonts w:hint="eastAsia" w:ascii="仿宋_GB2312" w:hAnsi="仿宋_GB2312" w:eastAsia="仿宋_GB2312" w:cs="仿宋_GB2312"/>
          <w:b w:val="0"/>
          <w:bCs w:val="0"/>
          <w:sz w:val="32"/>
          <w:szCs w:val="32"/>
        </w:rPr>
        <w:t>做细，确保各项工作顺利推进，取得实效。要明确责任分工，建立地方党委和政府领导、财政部门牵头、各有关部门协调配合的工作机制。加强政府债务管理队伍建设和人员配备，提高政策水平和工作能力。</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四是</w:t>
      </w:r>
      <w:r>
        <w:rPr>
          <w:rFonts w:hint="eastAsia" w:ascii="仿宋_GB2312" w:hAnsi="仿宋_GB2312" w:eastAsia="仿宋_GB2312" w:cs="仿宋_GB2312"/>
          <w:b w:val="0"/>
          <w:bCs w:val="0"/>
          <w:sz w:val="32"/>
          <w:szCs w:val="32"/>
        </w:rPr>
        <w:t>主动消化暂付款。按</w:t>
      </w:r>
      <w:r>
        <w:rPr>
          <w:rFonts w:hint="eastAsia" w:ascii="仿宋_GB2312" w:hAnsi="仿宋_GB2312" w:eastAsia="仿宋_GB2312" w:cs="仿宋_GB2312"/>
          <w:sz w:val="32"/>
          <w:szCs w:val="32"/>
        </w:rPr>
        <w:t>照全区财政工作会议要求，决不允许以暂付款的形式化解债务，同时，自治区已经明确，今年的化债奖励资金分配要将消化暂付款作为重要因素，对</w:t>
      </w:r>
      <w:r>
        <w:rPr>
          <w:rFonts w:hint="eastAsia" w:ascii="仿宋_GB2312" w:hAnsi="仿宋_GB2312" w:eastAsia="仿宋_GB2312" w:cs="仿宋_GB2312"/>
          <w:sz w:val="32"/>
          <w:szCs w:val="32"/>
          <w:lang w:eastAsia="zh-CN"/>
        </w:rPr>
        <w:t>实质性化债进度较快且消化暂付款</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eastAsia="zh-CN"/>
        </w:rPr>
        <w:t>地区</w:t>
      </w:r>
      <w:r>
        <w:rPr>
          <w:rFonts w:hint="eastAsia" w:ascii="仿宋_GB2312" w:hAnsi="仿宋_GB2312" w:eastAsia="仿宋_GB2312" w:cs="仿宋_GB2312"/>
          <w:sz w:val="32"/>
          <w:szCs w:val="32"/>
        </w:rPr>
        <w:t>予以奖补，对一降一升的不予考虑</w:t>
      </w:r>
      <w:r>
        <w:rPr>
          <w:rFonts w:hint="eastAsia" w:ascii="仿宋_GB2312" w:hAnsi="仿宋_GB2312" w:eastAsia="仿宋_GB2312" w:cs="仿宋_GB2312"/>
          <w:sz w:val="32"/>
          <w:szCs w:val="32"/>
          <w:lang w:eastAsia="zh-CN"/>
        </w:rPr>
        <w:t>，因此下一步不仅要完成化债的目标任务，还要对我旗目前暂付款结合财力情况进行逐年消化</w:t>
      </w:r>
      <w:r>
        <w:rPr>
          <w:rFonts w:hint="eastAsia" w:ascii="仿宋_GB2312" w:hAnsi="仿宋_GB2312" w:eastAsia="仿宋_GB2312" w:cs="仿宋_GB2312"/>
          <w:sz w:val="32"/>
          <w:szCs w:val="32"/>
        </w:rPr>
        <w:t>。</w:t>
      </w:r>
    </w:p>
    <w:sectPr>
      <w:pgSz w:w="11906" w:h="16838"/>
      <w:pgMar w:top="1984" w:right="1531" w:bottom="1701" w:left="1531" w:header="851" w:footer="1417"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hMTU2ZTg0NmYyZGFjYTQ5M2VjNjQyYzI5MzIyNWMifQ=="/>
  </w:docVars>
  <w:rsids>
    <w:rsidRoot w:val="1ACE6015"/>
    <w:rsid w:val="03E04C41"/>
    <w:rsid w:val="03EC48FF"/>
    <w:rsid w:val="04B213C1"/>
    <w:rsid w:val="04BE5FB8"/>
    <w:rsid w:val="051C4A8C"/>
    <w:rsid w:val="07391925"/>
    <w:rsid w:val="0858402D"/>
    <w:rsid w:val="08A55595"/>
    <w:rsid w:val="08B651F8"/>
    <w:rsid w:val="0A4414D4"/>
    <w:rsid w:val="0B177C5F"/>
    <w:rsid w:val="0B7E024F"/>
    <w:rsid w:val="0C3B1C9C"/>
    <w:rsid w:val="0EE628AF"/>
    <w:rsid w:val="0F416637"/>
    <w:rsid w:val="10A72C19"/>
    <w:rsid w:val="128D6FC9"/>
    <w:rsid w:val="172577D0"/>
    <w:rsid w:val="172F4109"/>
    <w:rsid w:val="175005C5"/>
    <w:rsid w:val="17AD41A9"/>
    <w:rsid w:val="17E30A3D"/>
    <w:rsid w:val="185345C7"/>
    <w:rsid w:val="186C7681"/>
    <w:rsid w:val="1ACE6015"/>
    <w:rsid w:val="1B5D5948"/>
    <w:rsid w:val="1C8E5E18"/>
    <w:rsid w:val="1CE914FF"/>
    <w:rsid w:val="1D2F3721"/>
    <w:rsid w:val="1E283A09"/>
    <w:rsid w:val="1F2713F5"/>
    <w:rsid w:val="204D3B51"/>
    <w:rsid w:val="20AC2D10"/>
    <w:rsid w:val="20B371C0"/>
    <w:rsid w:val="276E6B7B"/>
    <w:rsid w:val="28264B20"/>
    <w:rsid w:val="2AF61758"/>
    <w:rsid w:val="2E097ABA"/>
    <w:rsid w:val="2EB67089"/>
    <w:rsid w:val="2F602CF6"/>
    <w:rsid w:val="301937F3"/>
    <w:rsid w:val="31480833"/>
    <w:rsid w:val="327E38CF"/>
    <w:rsid w:val="33837D2E"/>
    <w:rsid w:val="33C817B8"/>
    <w:rsid w:val="3504060A"/>
    <w:rsid w:val="361E2E89"/>
    <w:rsid w:val="36981DB9"/>
    <w:rsid w:val="377F4BBB"/>
    <w:rsid w:val="38CB0400"/>
    <w:rsid w:val="3933520D"/>
    <w:rsid w:val="3A093341"/>
    <w:rsid w:val="3A8735DD"/>
    <w:rsid w:val="3AC63CC7"/>
    <w:rsid w:val="3B95070A"/>
    <w:rsid w:val="3FC94AE3"/>
    <w:rsid w:val="4013025E"/>
    <w:rsid w:val="41AB219B"/>
    <w:rsid w:val="42075BA1"/>
    <w:rsid w:val="433D1D39"/>
    <w:rsid w:val="44783789"/>
    <w:rsid w:val="476F0E74"/>
    <w:rsid w:val="48A26623"/>
    <w:rsid w:val="494E2307"/>
    <w:rsid w:val="4A25750C"/>
    <w:rsid w:val="4B281306"/>
    <w:rsid w:val="4B5F25AA"/>
    <w:rsid w:val="4BA2776E"/>
    <w:rsid w:val="4BBC5C4E"/>
    <w:rsid w:val="4C7E1155"/>
    <w:rsid w:val="4CDE09B1"/>
    <w:rsid w:val="4CEC2563"/>
    <w:rsid w:val="4D73058E"/>
    <w:rsid w:val="4DB83869"/>
    <w:rsid w:val="4DC25072"/>
    <w:rsid w:val="4DEB45C9"/>
    <w:rsid w:val="4E526C3C"/>
    <w:rsid w:val="4F211CB6"/>
    <w:rsid w:val="519F4AA9"/>
    <w:rsid w:val="53570785"/>
    <w:rsid w:val="55C37BD9"/>
    <w:rsid w:val="568937D8"/>
    <w:rsid w:val="57AC6B77"/>
    <w:rsid w:val="57D510BE"/>
    <w:rsid w:val="58FD29CC"/>
    <w:rsid w:val="5E3D49CC"/>
    <w:rsid w:val="5F5B117D"/>
    <w:rsid w:val="60F31682"/>
    <w:rsid w:val="612C3A0F"/>
    <w:rsid w:val="61530196"/>
    <w:rsid w:val="641220F5"/>
    <w:rsid w:val="654E5711"/>
    <w:rsid w:val="67BF15F9"/>
    <w:rsid w:val="6A521800"/>
    <w:rsid w:val="6ABA1153"/>
    <w:rsid w:val="6BC404DB"/>
    <w:rsid w:val="6C20025C"/>
    <w:rsid w:val="6D9B2892"/>
    <w:rsid w:val="6F4162E7"/>
    <w:rsid w:val="6FA50489"/>
    <w:rsid w:val="728564EA"/>
    <w:rsid w:val="734343DB"/>
    <w:rsid w:val="73AB01D2"/>
    <w:rsid w:val="759C6025"/>
    <w:rsid w:val="75D4756D"/>
    <w:rsid w:val="75D91BB6"/>
    <w:rsid w:val="79265756"/>
    <w:rsid w:val="7A236D15"/>
    <w:rsid w:val="7B2A19D1"/>
    <w:rsid w:val="7F783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1834</Words>
  <Characters>1990</Characters>
  <Lines>0</Lines>
  <Paragraphs>0</Paragraphs>
  <TotalTime>0</TotalTime>
  <ScaleCrop>false</ScaleCrop>
  <LinksUpToDate>false</LinksUpToDate>
  <CharactersWithSpaces>1991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2019-12-10T02:35:00Z</dcterms:created>
  <dc:creator>特凹涛</dc:creator>
  <cp:lastModifiedBy>杨丽</cp:lastModifiedBy>
  <cp:lastPrinted>2022-12-21T08:10:00Z</cp:lastPrinted>
  <dcterms:modified xsi:type="dcterms:W3CDTF">2023-09-01T04:14:09Z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90F9584C892E4E409770DB2B62DDB144</vt:lpwstr>
  </property>
</Properties>
</file>