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768207">
      <w:pPr>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sz w:val="24"/>
        </w:rPr>
      </w:pPr>
    </w:p>
    <w:p w14:paraId="0A696FB0">
      <w:pPr>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sz w:val="24"/>
        </w:rPr>
      </w:pPr>
    </w:p>
    <w:p w14:paraId="639A96FF">
      <w:pPr>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sz w:val="24"/>
        </w:rPr>
      </w:pPr>
    </w:p>
    <w:p w14:paraId="3972D5A5">
      <w:pPr>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sz w:val="24"/>
        </w:rPr>
      </w:pPr>
    </w:p>
    <w:p w14:paraId="5987BD96">
      <w:pPr>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b/>
          <w:bCs/>
          <w:sz w:val="52"/>
          <w:szCs w:val="52"/>
        </w:rPr>
      </w:pPr>
      <w:r>
        <w:rPr>
          <w:rFonts w:hint="eastAsia" w:ascii="宋体" w:hAnsi="宋体" w:eastAsia="宋体" w:cs="宋体"/>
          <w:b/>
          <w:bCs/>
          <w:sz w:val="52"/>
          <w:szCs w:val="52"/>
        </w:rPr>
        <w:t>2023年度鄂温克族自治旗财政局</w:t>
      </w:r>
      <w:r>
        <w:rPr>
          <w:rFonts w:hint="eastAsia" w:ascii="宋体" w:hAnsi="宋体" w:cs="宋体"/>
          <w:b/>
          <w:bCs/>
          <w:sz w:val="52"/>
          <w:szCs w:val="52"/>
          <w:lang w:eastAsia="zh-CN"/>
        </w:rPr>
        <w:t>决算</w:t>
      </w:r>
      <w:r>
        <w:rPr>
          <w:rFonts w:hint="eastAsia" w:ascii="宋体" w:hAnsi="宋体" w:eastAsia="宋体" w:cs="宋体"/>
          <w:b/>
          <w:bCs/>
          <w:sz w:val="52"/>
          <w:szCs w:val="52"/>
        </w:rPr>
        <w:t>公开</w:t>
      </w:r>
    </w:p>
    <w:p w14:paraId="13D7F092">
      <w:pPr>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b/>
          <w:bCs/>
          <w:sz w:val="52"/>
          <w:szCs w:val="52"/>
        </w:rPr>
      </w:pPr>
    </w:p>
    <w:p w14:paraId="6A016E38">
      <w:pPr>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b/>
          <w:bCs/>
          <w:sz w:val="52"/>
          <w:szCs w:val="52"/>
        </w:rPr>
      </w:pPr>
    </w:p>
    <w:p w14:paraId="1382595C">
      <w:pPr>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b/>
          <w:bCs/>
          <w:sz w:val="52"/>
          <w:szCs w:val="52"/>
        </w:rPr>
      </w:pPr>
    </w:p>
    <w:p w14:paraId="45DA1F2E">
      <w:pPr>
        <w:pageBreakBefore w:val="0"/>
        <w:kinsoku/>
        <w:wordWrap/>
        <w:overflowPunct/>
        <w:topLinePunct w:val="0"/>
        <w:autoSpaceDE/>
        <w:autoSpaceDN/>
        <w:bidi w:val="0"/>
        <w:spacing w:line="240" w:lineRule="auto"/>
        <w:ind w:left="0" w:leftChars="0"/>
        <w:jc w:val="center"/>
        <w:textAlignment w:val="auto"/>
        <w:rPr>
          <w:rFonts w:hint="eastAsia" w:ascii="宋体" w:hAnsi="宋体" w:eastAsia="宋体" w:cs="宋体"/>
          <w:b/>
          <w:bCs/>
          <w:sz w:val="52"/>
          <w:szCs w:val="52"/>
        </w:rPr>
      </w:pPr>
    </w:p>
    <w:p w14:paraId="45BAC8AA">
      <w:pPr>
        <w:pageBreakBefore w:val="0"/>
        <w:kinsoku/>
        <w:wordWrap/>
        <w:overflowPunct/>
        <w:topLinePunct w:val="0"/>
        <w:autoSpaceDE/>
        <w:autoSpaceDN/>
        <w:bidi w:val="0"/>
        <w:spacing w:line="240" w:lineRule="auto"/>
        <w:ind w:left="0" w:leftChars="0" w:firstLine="2240" w:firstLineChars="700"/>
        <w:jc w:val="left"/>
        <w:textAlignment w:val="auto"/>
        <w:rPr>
          <w:rFonts w:hint="eastAsia" w:ascii="宋体" w:hAnsi="宋体" w:eastAsia="宋体" w:cs="宋体"/>
          <w:sz w:val="32"/>
          <w:szCs w:val="32"/>
        </w:rPr>
      </w:pPr>
      <w:r>
        <w:rPr>
          <w:rFonts w:hint="eastAsia" w:ascii="宋体" w:hAnsi="宋体" w:eastAsia="宋体" w:cs="宋体"/>
          <w:sz w:val="32"/>
          <w:szCs w:val="32"/>
        </w:rPr>
        <w:t>部门（单位）名称：鄂温克族自治旗财政局（部门）</w:t>
      </w:r>
    </w:p>
    <w:p w14:paraId="056EFD94">
      <w:pPr>
        <w:pageBreakBefore w:val="0"/>
        <w:kinsoku/>
        <w:wordWrap/>
        <w:overflowPunct/>
        <w:topLinePunct w:val="0"/>
        <w:autoSpaceDE/>
        <w:autoSpaceDN/>
        <w:bidi w:val="0"/>
        <w:spacing w:line="240" w:lineRule="auto"/>
        <w:ind w:left="0" w:leftChars="0" w:firstLine="2240" w:firstLineChars="700"/>
        <w:jc w:val="left"/>
        <w:textAlignment w:val="auto"/>
        <w:rPr>
          <w:rFonts w:hint="eastAsia" w:ascii="宋体" w:hAnsi="宋体" w:eastAsia="宋体" w:cs="宋体"/>
          <w:sz w:val="32"/>
          <w:szCs w:val="32"/>
        </w:rPr>
      </w:pPr>
      <w:r>
        <w:rPr>
          <w:rFonts w:hint="eastAsia" w:ascii="宋体" w:hAnsi="宋体" w:eastAsia="宋体" w:cs="宋体"/>
          <w:sz w:val="32"/>
          <w:szCs w:val="32"/>
        </w:rPr>
        <w:t>单位负责人：宝音</w:t>
      </w:r>
    </w:p>
    <w:p w14:paraId="5DE48A31">
      <w:pPr>
        <w:pageBreakBefore w:val="0"/>
        <w:kinsoku/>
        <w:wordWrap/>
        <w:overflowPunct/>
        <w:topLinePunct w:val="0"/>
        <w:autoSpaceDE/>
        <w:autoSpaceDN/>
        <w:bidi w:val="0"/>
        <w:spacing w:line="240" w:lineRule="auto"/>
        <w:ind w:left="0" w:leftChars="0" w:firstLine="2240" w:firstLineChars="700"/>
        <w:jc w:val="left"/>
        <w:textAlignment w:val="auto"/>
        <w:rPr>
          <w:rFonts w:hint="eastAsia" w:ascii="宋体" w:hAnsi="宋体" w:eastAsia="宋体" w:cs="宋体"/>
          <w:sz w:val="32"/>
          <w:szCs w:val="32"/>
          <w:lang w:eastAsia="zh-CN"/>
        </w:rPr>
      </w:pPr>
      <w:r>
        <w:rPr>
          <w:rFonts w:hint="eastAsia" w:ascii="宋体" w:hAnsi="宋体" w:eastAsia="宋体" w:cs="宋体"/>
          <w:sz w:val="32"/>
          <w:szCs w:val="32"/>
        </w:rPr>
        <w:t>财务负责人：</w:t>
      </w:r>
      <w:r>
        <w:rPr>
          <w:rFonts w:hint="eastAsia" w:ascii="宋体" w:hAnsi="宋体" w:cs="宋体"/>
          <w:sz w:val="32"/>
          <w:szCs w:val="32"/>
          <w:lang w:eastAsia="zh-CN"/>
        </w:rPr>
        <w:t>李洪霞</w:t>
      </w:r>
    </w:p>
    <w:p w14:paraId="47AA3E3E">
      <w:pPr>
        <w:pageBreakBefore w:val="0"/>
        <w:kinsoku/>
        <w:wordWrap/>
        <w:overflowPunct/>
        <w:topLinePunct w:val="0"/>
        <w:autoSpaceDE/>
        <w:autoSpaceDN/>
        <w:bidi w:val="0"/>
        <w:spacing w:line="240" w:lineRule="auto"/>
        <w:ind w:left="0" w:leftChars="0" w:firstLine="2240" w:firstLineChars="700"/>
        <w:jc w:val="left"/>
        <w:textAlignment w:val="auto"/>
        <w:rPr>
          <w:rFonts w:hint="eastAsia" w:ascii="宋体" w:hAnsi="宋体" w:eastAsia="宋体" w:cs="宋体"/>
          <w:sz w:val="32"/>
          <w:szCs w:val="32"/>
        </w:rPr>
      </w:pPr>
      <w:r>
        <w:rPr>
          <w:rFonts w:hint="eastAsia" w:ascii="宋体" w:hAnsi="宋体" w:eastAsia="宋体" w:cs="宋体"/>
          <w:sz w:val="32"/>
          <w:szCs w:val="32"/>
        </w:rPr>
        <w:t>编制人：徐月霞</w:t>
      </w:r>
    </w:p>
    <w:p w14:paraId="1C42DF63">
      <w:pPr>
        <w:pageBreakBefore w:val="0"/>
        <w:kinsoku/>
        <w:wordWrap/>
        <w:overflowPunct/>
        <w:topLinePunct w:val="0"/>
        <w:autoSpaceDE/>
        <w:autoSpaceDN/>
        <w:bidi w:val="0"/>
        <w:spacing w:line="240" w:lineRule="auto"/>
        <w:ind w:left="0" w:leftChars="0" w:firstLine="2240" w:firstLineChars="700"/>
        <w:jc w:val="left"/>
        <w:textAlignment w:val="auto"/>
        <w:rPr>
          <w:rFonts w:hint="eastAsia" w:ascii="宋体" w:hAnsi="宋体" w:eastAsia="宋体" w:cs="宋体"/>
          <w:sz w:val="32"/>
          <w:szCs w:val="32"/>
        </w:rPr>
      </w:pPr>
      <w:r>
        <w:rPr>
          <w:rFonts w:hint="eastAsia" w:ascii="宋体" w:hAnsi="宋体" w:eastAsia="宋体" w:cs="宋体"/>
          <w:sz w:val="32"/>
          <w:szCs w:val="32"/>
        </w:rPr>
        <w:t>报送日期：2024年9月</w:t>
      </w:r>
    </w:p>
    <w:p w14:paraId="225EAEFE">
      <w:pPr>
        <w:pageBreakBefore w:val="0"/>
        <w:kinsoku/>
        <w:wordWrap/>
        <w:overflowPunct/>
        <w:topLinePunct w:val="0"/>
        <w:autoSpaceDE/>
        <w:autoSpaceDN/>
        <w:bidi w:val="0"/>
        <w:spacing w:line="240" w:lineRule="auto"/>
        <w:ind w:left="0" w:leftChars="0" w:firstLine="2249" w:firstLineChars="700"/>
        <w:textAlignment w:val="auto"/>
        <w:rPr>
          <w:rFonts w:hint="eastAsia" w:ascii="宋体" w:hAnsi="宋体" w:eastAsia="宋体" w:cs="宋体"/>
          <w:b/>
          <w:sz w:val="32"/>
          <w:szCs w:val="32"/>
        </w:rPr>
        <w:sectPr>
          <w:footerReference r:id="rId3" w:type="default"/>
          <w:pgSz w:w="11906" w:h="16838"/>
          <w:pgMar w:top="1440" w:right="1083" w:bottom="1440" w:left="1083" w:header="0" w:footer="720" w:gutter="0"/>
          <w:cols w:space="425" w:num="1"/>
          <w:docGrid w:type="lines" w:linePitch="312" w:charSpace="0"/>
        </w:sectPr>
      </w:pPr>
    </w:p>
    <w:p w14:paraId="5DC4E978">
      <w:pPr>
        <w:pStyle w:val="4"/>
        <w:pageBreakBefore w:val="0"/>
        <w:kinsoku/>
        <w:wordWrap/>
        <w:overflowPunct/>
        <w:topLinePunct w:val="0"/>
        <w:autoSpaceDE/>
        <w:autoSpaceDN/>
        <w:bidi w:val="0"/>
        <w:spacing w:before="0" w:after="0" w:line="240" w:lineRule="auto"/>
        <w:ind w:left="0" w:leftChars="0"/>
        <w:textAlignment w:val="auto"/>
        <w:rPr>
          <w:rFonts w:hint="eastAsia" w:ascii="宋体" w:hAnsi="宋体" w:eastAsia="宋体" w:cs="宋体"/>
          <w:sz w:val="44"/>
          <w:szCs w:val="44"/>
        </w:rPr>
      </w:pPr>
      <w:r>
        <w:rPr>
          <w:rFonts w:hint="eastAsia" w:ascii="宋体" w:hAnsi="宋体" w:eastAsia="宋体" w:cs="宋体"/>
          <w:sz w:val="44"/>
          <w:szCs w:val="44"/>
        </w:rPr>
        <w:t>公开文档</w:t>
      </w:r>
    </w:p>
    <w:p w14:paraId="0BDCFF53">
      <w:pPr>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kern w:val="0"/>
          <w:sz w:val="44"/>
          <w:szCs w:val="44"/>
        </w:rPr>
      </w:pPr>
      <w:bookmarkStart w:id="0" w:name="a000"/>
      <w:r>
        <w:rPr>
          <w:rFonts w:hint="eastAsia" w:ascii="宋体" w:hAnsi="宋体" w:eastAsia="宋体" w:cs="宋体"/>
          <w:b/>
          <w:bCs/>
          <w:kern w:val="0"/>
          <w:sz w:val="44"/>
          <w:szCs w:val="44"/>
        </w:rPr>
        <w:t>目 录</w:t>
      </w:r>
    </w:p>
    <w:p w14:paraId="541F72F0">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24"/>
        </w:rPr>
      </w:pPr>
      <w:r>
        <w:rPr>
          <w:rFonts w:hint="eastAsia" w:ascii="宋体" w:hAnsi="宋体" w:eastAsia="宋体" w:cs="宋体"/>
          <w:b/>
          <w:bCs/>
          <w:kern w:val="0"/>
          <w:sz w:val="24"/>
        </w:rPr>
        <w:t> </w:t>
      </w:r>
    </w:p>
    <w:p w14:paraId="024C33CF">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b/>
          <w:bCs/>
          <w:kern w:val="0"/>
          <w:sz w:val="32"/>
          <w:szCs w:val="32"/>
        </w:rPr>
      </w:pPr>
      <w:r>
        <w:rPr>
          <w:rFonts w:hint="eastAsia" w:ascii="宋体" w:hAnsi="宋体" w:eastAsia="宋体" w:cs="宋体"/>
          <w:b/>
          <w:bCs/>
          <w:kern w:val="0"/>
          <w:sz w:val="32"/>
          <w:szCs w:val="32"/>
        </w:rPr>
        <w:t>第一部分 部门（单位）概况</w:t>
      </w:r>
    </w:p>
    <w:p w14:paraId="0A52B7C0">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一、主要职能、职责</w:t>
      </w:r>
    </w:p>
    <w:p w14:paraId="029F046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二、部门（单位）机构设置及决算单位构成情况</w:t>
      </w:r>
    </w:p>
    <w:p w14:paraId="3CBEC0AC">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三、2023年度部门（单位）主要工作完成情况</w:t>
      </w:r>
    </w:p>
    <w:p w14:paraId="76FC7988">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p>
    <w:p w14:paraId="10D04F58">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b/>
          <w:bCs/>
          <w:kern w:val="0"/>
          <w:sz w:val="32"/>
          <w:szCs w:val="32"/>
        </w:rPr>
      </w:pPr>
      <w:r>
        <w:rPr>
          <w:rFonts w:hint="eastAsia" w:ascii="宋体" w:hAnsi="宋体" w:eastAsia="宋体" w:cs="宋体"/>
          <w:b/>
          <w:bCs/>
          <w:kern w:val="0"/>
          <w:sz w:val="32"/>
          <w:szCs w:val="32"/>
        </w:rPr>
        <w:t>第二部分 部门（单位）决算情况说明</w:t>
      </w:r>
    </w:p>
    <w:p w14:paraId="3E757FB8">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一、收入支出决算总体情况说明</w:t>
      </w:r>
    </w:p>
    <w:p w14:paraId="38534DCC">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二、收入决算情况说明</w:t>
      </w:r>
    </w:p>
    <w:p w14:paraId="2DE2A118">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三、支出决算情况说明</w:t>
      </w:r>
    </w:p>
    <w:p w14:paraId="266A5C93">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四、财政拨款收入支出决算总体情况说明</w:t>
      </w:r>
    </w:p>
    <w:p w14:paraId="49AE56E0">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五、一般公共预算财政拨款支出决算情况说明</w:t>
      </w:r>
    </w:p>
    <w:p w14:paraId="17407D6D">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六、一般公共预算财政拨款基本支出决算情况说明</w:t>
      </w:r>
    </w:p>
    <w:p w14:paraId="3EEDFEA0">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七、一般公共预算财政拨款项目支出决算情况说明</w:t>
      </w:r>
    </w:p>
    <w:p w14:paraId="510B584B">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八、财政拨款“三公”经费支出决算情况说明</w:t>
      </w:r>
    </w:p>
    <w:p w14:paraId="2B345B92">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九、政府性基金预算财政拨款支出决算情况说明</w:t>
      </w:r>
    </w:p>
    <w:p w14:paraId="11CCDE4E">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十、国有资本经营预算财政拨款支出决算情况说明</w:t>
      </w:r>
    </w:p>
    <w:p w14:paraId="183424C3">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十一、机构运行经费支出决算情况说明</w:t>
      </w:r>
    </w:p>
    <w:p w14:paraId="2A9227C6">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十二、政府采购支出决算情况说明</w:t>
      </w:r>
    </w:p>
    <w:p w14:paraId="0D8C36F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十三、国有资产占用情况说明</w:t>
      </w:r>
    </w:p>
    <w:p w14:paraId="0BB736C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十四、预算绩效情况说明</w:t>
      </w:r>
    </w:p>
    <w:p w14:paraId="2BF341D1">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p>
    <w:p w14:paraId="18049091">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b/>
          <w:bCs/>
          <w:kern w:val="0"/>
          <w:sz w:val="32"/>
          <w:szCs w:val="32"/>
        </w:rPr>
      </w:pPr>
      <w:r>
        <w:rPr>
          <w:rFonts w:hint="eastAsia" w:ascii="宋体" w:hAnsi="宋体" w:eastAsia="宋体" w:cs="宋体"/>
          <w:b/>
          <w:bCs/>
          <w:kern w:val="0"/>
          <w:sz w:val="32"/>
          <w:szCs w:val="32"/>
        </w:rPr>
        <w:t>第三部分 名词解释</w:t>
      </w:r>
    </w:p>
    <w:p w14:paraId="2A78BA48">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b/>
          <w:bCs/>
          <w:kern w:val="0"/>
          <w:sz w:val="32"/>
          <w:szCs w:val="32"/>
        </w:rPr>
      </w:pPr>
      <w:r>
        <w:rPr>
          <w:rFonts w:hint="eastAsia" w:ascii="宋体" w:hAnsi="宋体" w:eastAsia="宋体" w:cs="宋体"/>
          <w:b/>
          <w:bCs/>
          <w:kern w:val="0"/>
          <w:sz w:val="32"/>
          <w:szCs w:val="32"/>
        </w:rPr>
        <w:t>第四部分 决算公开联系方式及信息反馈渠道</w:t>
      </w:r>
    </w:p>
    <w:p w14:paraId="7E59C281">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b/>
          <w:bCs/>
          <w:kern w:val="0"/>
          <w:sz w:val="32"/>
          <w:szCs w:val="32"/>
        </w:rPr>
      </w:pPr>
      <w:r>
        <w:rPr>
          <w:rFonts w:hint="eastAsia" w:ascii="宋体" w:hAnsi="宋体" w:eastAsia="宋体" w:cs="宋体"/>
          <w:b/>
          <w:bCs/>
          <w:kern w:val="0"/>
          <w:sz w:val="32"/>
          <w:szCs w:val="32"/>
        </w:rPr>
        <w:t>第五部分 部门（单位）决算表</w:t>
      </w:r>
    </w:p>
    <w:p w14:paraId="79CF78E8">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一、收入支出决算总表</w:t>
      </w:r>
    </w:p>
    <w:p w14:paraId="0C8BFD90">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二、收入决算表</w:t>
      </w:r>
    </w:p>
    <w:p w14:paraId="4A1C80DD">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三、支出决算表</w:t>
      </w:r>
    </w:p>
    <w:p w14:paraId="4354C93F">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四、财政拨款收入支出决算总表</w:t>
      </w:r>
    </w:p>
    <w:p w14:paraId="4123054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五、一般公共预算财政拨款支出决算表</w:t>
      </w:r>
    </w:p>
    <w:p w14:paraId="49D13BB8">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六、一般公共预算财政拨款基本支出决算明细表</w:t>
      </w:r>
    </w:p>
    <w:p w14:paraId="0C63FBC1">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七、一般公共预算财政拨款项目支出决算明细表</w:t>
      </w:r>
    </w:p>
    <w:p w14:paraId="00A64F97">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八、政府性基金预算财政拨款收入支出决算表</w:t>
      </w:r>
    </w:p>
    <w:p w14:paraId="283E48A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九、国有资本经营预算财政拨款支出决算表</w:t>
      </w:r>
    </w:p>
    <w:p w14:paraId="26A969E5">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十、财政拨款“三公”经费支出决算表</w:t>
      </w:r>
    </w:p>
    <w:p w14:paraId="4B32D133">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十一、机构运行经费支出、国有资产占用情况及政府采购支出信息表</w:t>
      </w:r>
    </w:p>
    <w:p w14:paraId="71B969F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p>
    <w:p w14:paraId="1748FFAF">
      <w:pPr>
        <w:pStyle w:val="2"/>
        <w:pageBreakBefore w:val="0"/>
        <w:kinsoku/>
        <w:wordWrap/>
        <w:overflowPunct/>
        <w:topLinePunct w:val="0"/>
        <w:autoSpaceDE/>
        <w:autoSpaceDN/>
        <w:bidi w:val="0"/>
        <w:spacing w:after="0" w:line="240" w:lineRule="auto"/>
        <w:ind w:left="0" w:leftChars="0"/>
        <w:textAlignment w:val="auto"/>
        <w:rPr>
          <w:rFonts w:hint="eastAsia" w:ascii="宋体" w:hAnsi="宋体" w:eastAsia="宋体" w:cs="宋体"/>
          <w:kern w:val="0"/>
          <w:sz w:val="32"/>
          <w:szCs w:val="32"/>
        </w:rPr>
      </w:pPr>
    </w:p>
    <w:p w14:paraId="58D1D18E">
      <w:pPr>
        <w:pStyle w:val="2"/>
        <w:pageBreakBefore w:val="0"/>
        <w:kinsoku/>
        <w:wordWrap/>
        <w:overflowPunct/>
        <w:topLinePunct w:val="0"/>
        <w:autoSpaceDE/>
        <w:autoSpaceDN/>
        <w:bidi w:val="0"/>
        <w:spacing w:after="0" w:line="240" w:lineRule="auto"/>
        <w:ind w:left="0" w:leftChars="0"/>
        <w:textAlignment w:val="auto"/>
        <w:rPr>
          <w:rFonts w:hint="eastAsia" w:ascii="宋体" w:hAnsi="宋体" w:eastAsia="宋体" w:cs="宋体"/>
          <w:kern w:val="0"/>
          <w:sz w:val="32"/>
          <w:szCs w:val="32"/>
        </w:rPr>
      </w:pPr>
    </w:p>
    <w:p w14:paraId="6829E61C">
      <w:pPr>
        <w:pStyle w:val="2"/>
        <w:pageBreakBefore w:val="0"/>
        <w:kinsoku/>
        <w:wordWrap/>
        <w:overflowPunct/>
        <w:topLinePunct w:val="0"/>
        <w:autoSpaceDE/>
        <w:autoSpaceDN/>
        <w:bidi w:val="0"/>
        <w:spacing w:after="0" w:line="240" w:lineRule="auto"/>
        <w:ind w:left="0" w:leftChars="0"/>
        <w:textAlignment w:val="auto"/>
        <w:rPr>
          <w:rFonts w:hint="eastAsia" w:ascii="宋体" w:hAnsi="宋体" w:eastAsia="宋体" w:cs="宋体"/>
          <w:kern w:val="0"/>
          <w:sz w:val="32"/>
          <w:szCs w:val="32"/>
        </w:rPr>
      </w:pPr>
    </w:p>
    <w:p w14:paraId="2CB914C5">
      <w:pPr>
        <w:pStyle w:val="2"/>
        <w:pageBreakBefore w:val="0"/>
        <w:kinsoku/>
        <w:wordWrap/>
        <w:overflowPunct/>
        <w:topLinePunct w:val="0"/>
        <w:autoSpaceDE/>
        <w:autoSpaceDN/>
        <w:bidi w:val="0"/>
        <w:spacing w:after="0" w:line="240" w:lineRule="auto"/>
        <w:ind w:left="0" w:leftChars="0"/>
        <w:textAlignment w:val="auto"/>
        <w:rPr>
          <w:rFonts w:hint="eastAsia" w:ascii="宋体" w:hAnsi="宋体" w:eastAsia="宋体" w:cs="宋体"/>
          <w:kern w:val="0"/>
          <w:sz w:val="32"/>
          <w:szCs w:val="32"/>
        </w:rPr>
      </w:pPr>
    </w:p>
    <w:p w14:paraId="4BC26889">
      <w:pPr>
        <w:pStyle w:val="2"/>
        <w:pageBreakBefore w:val="0"/>
        <w:kinsoku/>
        <w:wordWrap/>
        <w:overflowPunct/>
        <w:topLinePunct w:val="0"/>
        <w:autoSpaceDE/>
        <w:autoSpaceDN/>
        <w:bidi w:val="0"/>
        <w:spacing w:after="0" w:line="240" w:lineRule="auto"/>
        <w:ind w:left="0" w:leftChars="0"/>
        <w:textAlignment w:val="auto"/>
        <w:rPr>
          <w:rFonts w:hint="eastAsia" w:ascii="宋体" w:hAnsi="宋体" w:eastAsia="宋体" w:cs="宋体"/>
          <w:kern w:val="0"/>
          <w:sz w:val="32"/>
          <w:szCs w:val="32"/>
        </w:rPr>
      </w:pPr>
    </w:p>
    <w:p w14:paraId="5A1EAB9C">
      <w:pPr>
        <w:pStyle w:val="2"/>
        <w:pageBreakBefore w:val="0"/>
        <w:kinsoku/>
        <w:wordWrap/>
        <w:overflowPunct/>
        <w:topLinePunct w:val="0"/>
        <w:autoSpaceDE/>
        <w:autoSpaceDN/>
        <w:bidi w:val="0"/>
        <w:spacing w:after="0" w:line="240" w:lineRule="auto"/>
        <w:ind w:left="0" w:leftChars="0"/>
        <w:textAlignment w:val="auto"/>
        <w:rPr>
          <w:rFonts w:hint="eastAsia" w:ascii="宋体" w:hAnsi="宋体" w:eastAsia="宋体" w:cs="宋体"/>
          <w:kern w:val="0"/>
          <w:sz w:val="24"/>
        </w:rPr>
      </w:pPr>
    </w:p>
    <w:p w14:paraId="526F1D99">
      <w:pPr>
        <w:pStyle w:val="2"/>
        <w:pageBreakBefore w:val="0"/>
        <w:kinsoku/>
        <w:wordWrap/>
        <w:overflowPunct/>
        <w:topLinePunct w:val="0"/>
        <w:autoSpaceDE/>
        <w:autoSpaceDN/>
        <w:bidi w:val="0"/>
        <w:spacing w:after="0" w:line="240" w:lineRule="auto"/>
        <w:ind w:left="0" w:leftChars="0"/>
        <w:textAlignment w:val="auto"/>
        <w:rPr>
          <w:rFonts w:hint="eastAsia" w:ascii="宋体" w:hAnsi="宋体" w:eastAsia="宋体" w:cs="宋体"/>
          <w:kern w:val="0"/>
          <w:sz w:val="24"/>
        </w:rPr>
      </w:pPr>
    </w:p>
    <w:p w14:paraId="3F170816">
      <w:pPr>
        <w:pStyle w:val="2"/>
        <w:pageBreakBefore w:val="0"/>
        <w:kinsoku/>
        <w:wordWrap/>
        <w:overflowPunct/>
        <w:topLinePunct w:val="0"/>
        <w:autoSpaceDE/>
        <w:autoSpaceDN/>
        <w:bidi w:val="0"/>
        <w:spacing w:after="0" w:line="240" w:lineRule="auto"/>
        <w:ind w:left="0" w:leftChars="0"/>
        <w:textAlignment w:val="auto"/>
        <w:rPr>
          <w:rFonts w:hint="eastAsia" w:ascii="宋体" w:hAnsi="宋体" w:eastAsia="宋体" w:cs="宋体"/>
          <w:kern w:val="0"/>
          <w:sz w:val="24"/>
        </w:rPr>
      </w:pPr>
    </w:p>
    <w:p w14:paraId="1ECE59DE">
      <w:pPr>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b/>
          <w:bCs/>
          <w:kern w:val="0"/>
          <w:sz w:val="27"/>
          <w:szCs w:val="27"/>
        </w:rPr>
      </w:pPr>
      <w:r>
        <w:rPr>
          <w:rFonts w:hint="eastAsia" w:ascii="宋体" w:hAnsi="宋体" w:eastAsia="宋体" w:cs="宋体"/>
          <w:b/>
          <w:bCs/>
          <w:color w:val="000000"/>
          <w:kern w:val="0"/>
          <w:sz w:val="36"/>
          <w:szCs w:val="36"/>
        </w:rPr>
        <w:t>第一部分 部门（单位）概况</w:t>
      </w:r>
    </w:p>
    <w:p w14:paraId="4A609D26">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24"/>
        </w:rPr>
      </w:pPr>
      <w:r>
        <w:rPr>
          <w:rFonts w:hint="eastAsia" w:ascii="宋体" w:hAnsi="宋体" w:eastAsia="宋体" w:cs="宋体"/>
          <w:b/>
          <w:bCs/>
          <w:kern w:val="0"/>
          <w:sz w:val="32"/>
          <w:szCs w:val="32"/>
        </w:rPr>
        <w:t>一、主要职能、职责</w:t>
      </w:r>
    </w:p>
    <w:p w14:paraId="63B9ABDE">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贯彻执行国家、自治区、呼伦贝尔市财政、税收的方针、政策，拟订全旗财政、税收的中长期规划、计划，并组织实施；分析预测鄂温克旗宏观经济形势，参与制定各项宏观经济政策；提出运用财税政策实施经济调节和综合平衡社会财力的建议，拟订鄂温克旗和乡镇苏木的财政分配办法；起草全旗财政、财务、会计管理的地方性法规规章草案；推进鄂温克旗财政管理体制改革。</w:t>
      </w:r>
    </w:p>
    <w:p w14:paraId="0E8E7DDD">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2.承担鄂温克旗本级各项财政收支管理的责任，负责编制年度全旗及鄂温克旗本级预算并组织执行，编制和汇总全旗及鄂温克旗本级财政决算；受鄂温克旗人民政府委托，向鄂温克旗人民代表大会报告鄂温克旗本级和全旗年度财政预算及其执行情况，向鄂温克旗人大常委会报告财政决算；组织制订鄂温克旗本级经费开支标准、定额，负责审核批复部门（单位）的年度预决算；办理呼伦贝尔市与鄂温克旗财政年终结算事宜。</w:t>
      </w:r>
    </w:p>
    <w:p w14:paraId="7514F64B">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3.研究拟定鄂温克旗管理权限范围内的有关税收办法及税收调整方案；负责政府非税收入管理，按规定管理行政事业性收费、政府性基金及其他非税收入；管理财政票据；制定彩票管理的有关办法，管理彩票市场，按规定管理彩票资金。</w:t>
      </w:r>
    </w:p>
    <w:p w14:paraId="7A1B4993">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4.组织实施国库管理制度、国库集中收付制度，推行旗级财政国库集中收付制度并进行监督管理，指导全旗推行财政国库集中收付制度工作。负责管理旗本级财政银行账户和旗级预算单位银行账户。制定地方国库现金管理制度，负责组织实施地方国库现金管理工作。</w:t>
      </w:r>
    </w:p>
    <w:p w14:paraId="73E5540B">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5.负责执行政府采购制度并监督管理。</w:t>
      </w:r>
    </w:p>
    <w:p w14:paraId="1E2DC02E">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6.贯彻实施国有资本经营预算的制度和办法；收取鄂温克旗本级企业国有资本收益，组织实施企业财务制度及政府与企业的分配制度和办法；按规定管理资产评估工作。</w:t>
      </w:r>
    </w:p>
    <w:p w14:paraId="6D931CC4">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7.负责办理和监督鄂温克旗财政的经济发展支出、中央和自治区、呼伦贝尔市、鄂温克旗政府性投资项目的财政拨款，参与拟订鄂温克旗建设投资的有关政策；贯彻执行基本建设财务制度，负责有关政策性补贴和专项储备资金财政管理工作；</w:t>
      </w:r>
    </w:p>
    <w:p w14:paraId="21BA5937">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8.会同有关部门管理鄂温克旗财政社会保障和就业及医疗卫生支出，会同有关部门拟订全旗社会保障资金（基金）的财务管理制度，编制鄂温克旗社会保障预决算草案。</w:t>
      </w:r>
    </w:p>
    <w:p w14:paraId="22B3EF7F">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9.贯彻执行国家关于政府内外债务管理的制度和政策，依法制定全旗政府性债务管理制度和办法；负责统一管理政府内外债务。</w:t>
      </w:r>
    </w:p>
    <w:p w14:paraId="0B53D2E6">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10.负责管理全旗会计工作，监督和规范会计行为，指导和监督鄂温克旗注册会计师和会计师事务所的业务，指导和管理社会审计。</w:t>
      </w:r>
    </w:p>
    <w:p w14:paraId="6ED22D99">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11.监督检查财税法规、政策执行情况，反映财政收支管理中的重大问题，提出加强财政管理的政策和建议。</w:t>
      </w:r>
    </w:p>
    <w:p w14:paraId="6A383BEF">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12.负责起草全旗农村牧区综合改革方案和重大政策措施，指导和推动改革工作。承办鄂温克旗农村牧区综合改革领导小组的具体工作。</w:t>
      </w:r>
    </w:p>
    <w:p w14:paraId="1089AAA9">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13.管理预算和税收工作。将政府非税收入纳入预算管理，建立预算管理与资产管理相结合的综合部门预算管理制度。建立健全财政支出绩效评价体系，提高财政资金使用效益。健全税政管理决策、执行、监督及相互协调的运行机制。</w:t>
      </w:r>
    </w:p>
    <w:p w14:paraId="70CE4C94">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14.承担财税调节收入分配的职责，完善鄂温克旗各级政府间、政府与企业间的分配政策，完善鼓励公益事业发展的财税政策，缩小地区间、行业间的收入分配差距，促进社会公平。</w:t>
      </w:r>
    </w:p>
    <w:p w14:paraId="3F694B94">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15.负责财政资金的监督检查，建立健全覆盖所有财政性资金和财政运行过程的监督机制，确保财政资金安全运行，提高财政管理绩效，充分发挥财政资金的使用效益。</w:t>
      </w:r>
    </w:p>
    <w:p w14:paraId="0F068103">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b/>
          <w:bCs/>
          <w:kern w:val="0"/>
          <w:sz w:val="27"/>
          <w:szCs w:val="27"/>
        </w:rPr>
      </w:pPr>
      <w:r>
        <w:rPr>
          <w:rFonts w:hint="eastAsia" w:ascii="宋体" w:hAnsi="宋体" w:eastAsia="宋体" w:cs="宋体"/>
          <w:kern w:val="2"/>
          <w:sz w:val="32"/>
          <w:szCs w:val="32"/>
          <w:u w:val="none"/>
          <w:lang w:val="en-US" w:eastAsia="zh-CN" w:bidi="ar-SA"/>
        </w:rPr>
        <w:t xml:space="preserve"> 16.承办鄂温克族自治旗人民政府和呼伦贝尔市财政局交办的其他工作。</w:t>
      </w:r>
    </w:p>
    <w:p w14:paraId="1C6BFC8C">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color w:val="0E00FE"/>
          <w:kern w:val="0"/>
          <w:sz w:val="27"/>
          <w:szCs w:val="27"/>
        </w:rPr>
      </w:pPr>
      <w:r>
        <w:rPr>
          <w:rFonts w:hint="eastAsia" w:ascii="宋体" w:hAnsi="宋体" w:eastAsia="宋体" w:cs="宋体"/>
          <w:b/>
          <w:bCs/>
          <w:kern w:val="0"/>
          <w:sz w:val="32"/>
          <w:szCs w:val="32"/>
        </w:rPr>
        <w:t>二、部门（单位）机构设置及决算单位构成情况</w:t>
      </w:r>
    </w:p>
    <w:p w14:paraId="4E79F660">
      <w:pPr>
        <w:pStyle w:val="2"/>
        <w:keepNext w:val="0"/>
        <w:keepLines w:val="0"/>
        <w:pageBreakBefore w:val="0"/>
        <w:kinsoku/>
        <w:wordWrap/>
        <w:overflowPunct/>
        <w:topLinePunct w:val="0"/>
        <w:autoSpaceDE/>
        <w:autoSpaceDN/>
        <w:bidi w:val="0"/>
        <w:adjustRightInd/>
        <w:snapToGrid/>
        <w:spacing w:after="0" w:line="240" w:lineRule="auto"/>
        <w:ind w:left="0" w:leftChars="0" w:firstLine="640" w:firstLineChars="200"/>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 xml:space="preserve">1、根据部门职责分工，本部门内设机构包括办公室、预算股（债务管理办公室）、国库股、条法税政股（非税管理办公室）、社会保障股、经济建设和综合股、行政政法股、文教股、金融外经和工业经贸股、农牧业股、自然资源和生态环境股、会计股、监督和绩效管理股、政府采购股。本部门下属单位包括鄂温克族自治旗财政事业发展中心、鄂温克族自治旗财政局综合保障中心。     </w:t>
      </w:r>
    </w:p>
    <w:p w14:paraId="3B686780">
      <w:pPr>
        <w:pStyle w:val="2"/>
        <w:keepNext w:val="0"/>
        <w:keepLines w:val="0"/>
        <w:pageBreakBefore w:val="0"/>
        <w:kinsoku/>
        <w:wordWrap/>
        <w:overflowPunct/>
        <w:topLinePunct w:val="0"/>
        <w:autoSpaceDE/>
        <w:autoSpaceDN/>
        <w:bidi w:val="0"/>
        <w:adjustRightInd/>
        <w:snapToGrid/>
        <w:spacing w:after="0" w:line="240" w:lineRule="auto"/>
        <w:ind w:left="0" w:leftChars="0" w:firstLine="640" w:firstLineChars="200"/>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2、从预算单位构成看，纳入本部2023年部门汇总预算编制范围的预算单位共计3家，具体包括：鄂温克族自治旗财政局部门本级、鄂温克族自治旗财政事业发展中心、鄂温克族自治旗财政局综合保障中心。详细情况</w:t>
      </w:r>
      <w:r>
        <w:rPr>
          <w:rFonts w:hint="eastAsia" w:cs="宋体"/>
          <w:kern w:val="2"/>
          <w:sz w:val="32"/>
          <w:szCs w:val="32"/>
          <w:u w:val="none"/>
          <w:lang w:val="en-US" w:eastAsia="zh-CN" w:bidi="ar-SA"/>
        </w:rPr>
        <w:t>见下</w:t>
      </w:r>
      <w:r>
        <w:rPr>
          <w:rFonts w:hint="eastAsia" w:ascii="宋体" w:hAnsi="宋体" w:eastAsia="宋体" w:cs="宋体"/>
          <w:kern w:val="2"/>
          <w:sz w:val="32"/>
          <w:szCs w:val="32"/>
          <w:u w:val="none"/>
          <w:lang w:val="en-US" w:eastAsia="zh-CN" w:bidi="ar-SA"/>
        </w:rPr>
        <w:t>表：</w:t>
      </w:r>
    </w:p>
    <w:tbl>
      <w:tblPr>
        <w:tblStyle w:val="22"/>
        <w:tblW w:w="9049"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5064"/>
        <w:gridCol w:w="3140"/>
      </w:tblGrid>
      <w:tr w14:paraId="221D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tcPr>
          <w:p w14:paraId="5F5F2808">
            <w:pPr>
              <w:pageBreakBefore w:val="0"/>
              <w:widowControl/>
              <w:kinsoku/>
              <w:wordWrap/>
              <w:overflowPunct/>
              <w:topLinePunct w:val="0"/>
              <w:autoSpaceDE/>
              <w:autoSpaceDN/>
              <w:bidi w:val="0"/>
              <w:spacing w:line="240" w:lineRule="auto"/>
              <w:ind w:left="0" w:leftChars="0" w:right="0"/>
              <w:jc w:val="both"/>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序号</w:t>
            </w:r>
          </w:p>
        </w:tc>
        <w:tc>
          <w:tcPr>
            <w:tcW w:w="5064" w:type="dxa"/>
            <w:vAlign w:val="center"/>
          </w:tcPr>
          <w:p w14:paraId="27322EDF">
            <w:pPr>
              <w:pageBreakBefore w:val="0"/>
              <w:widowControl/>
              <w:kinsoku/>
              <w:wordWrap/>
              <w:overflowPunct/>
              <w:topLinePunct w:val="0"/>
              <w:autoSpaceDE/>
              <w:autoSpaceDN/>
              <w:bidi w:val="0"/>
              <w:spacing w:line="240" w:lineRule="auto"/>
              <w:ind w:left="0" w:leftChars="0" w:right="0" w:firstLine="600" w:firstLineChars="20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单位名称</w:t>
            </w:r>
          </w:p>
        </w:tc>
        <w:tc>
          <w:tcPr>
            <w:tcW w:w="3140" w:type="dxa"/>
            <w:vAlign w:val="center"/>
          </w:tcPr>
          <w:p w14:paraId="66097CD6">
            <w:pPr>
              <w:pageBreakBefore w:val="0"/>
              <w:widowControl/>
              <w:kinsoku/>
              <w:wordWrap/>
              <w:overflowPunct/>
              <w:topLinePunct w:val="0"/>
              <w:autoSpaceDE/>
              <w:autoSpaceDN/>
              <w:bidi w:val="0"/>
              <w:spacing w:line="240" w:lineRule="auto"/>
              <w:ind w:left="0" w:leftChars="0" w:right="0" w:firstLine="600" w:firstLineChars="20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单位性质</w:t>
            </w:r>
          </w:p>
        </w:tc>
      </w:tr>
      <w:tr w14:paraId="69EF6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845" w:type="dxa"/>
            <w:vAlign w:val="center"/>
          </w:tcPr>
          <w:p w14:paraId="0947C790">
            <w:pPr>
              <w:pageBreakBefore w:val="0"/>
              <w:widowControl/>
              <w:kinsoku/>
              <w:wordWrap/>
              <w:overflowPunct/>
              <w:topLinePunct w:val="0"/>
              <w:autoSpaceDE/>
              <w:autoSpaceDN/>
              <w:bidi w:val="0"/>
              <w:spacing w:line="240" w:lineRule="auto"/>
              <w:ind w:left="0" w:leftChars="0" w:right="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1</w:t>
            </w:r>
          </w:p>
        </w:tc>
        <w:tc>
          <w:tcPr>
            <w:tcW w:w="5064" w:type="dxa"/>
          </w:tcPr>
          <w:p w14:paraId="228E0206">
            <w:pPr>
              <w:pageBreakBefore w:val="0"/>
              <w:widowControl/>
              <w:kinsoku/>
              <w:wordWrap/>
              <w:overflowPunct/>
              <w:topLinePunct w:val="0"/>
              <w:autoSpaceDE/>
              <w:autoSpaceDN/>
              <w:bidi w:val="0"/>
              <w:spacing w:line="240" w:lineRule="auto"/>
              <w:ind w:left="0" w:leftChars="0"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sz w:val="30"/>
                <w:szCs w:val="30"/>
                <w:lang w:val="en-US" w:eastAsia="zh-CN"/>
              </w:rPr>
              <w:t>鄂温克族自治旗财政局</w:t>
            </w:r>
          </w:p>
        </w:tc>
        <w:tc>
          <w:tcPr>
            <w:tcW w:w="3140" w:type="dxa"/>
          </w:tcPr>
          <w:p w14:paraId="5BFC9AF0">
            <w:pPr>
              <w:pageBreakBefore w:val="0"/>
              <w:widowControl/>
              <w:kinsoku/>
              <w:wordWrap/>
              <w:overflowPunct/>
              <w:topLinePunct w:val="0"/>
              <w:autoSpaceDE/>
              <w:autoSpaceDN/>
              <w:bidi w:val="0"/>
              <w:spacing w:line="240" w:lineRule="auto"/>
              <w:ind w:left="0" w:leftChars="0"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财政拨款的行政单位</w:t>
            </w:r>
          </w:p>
        </w:tc>
      </w:tr>
      <w:tr w14:paraId="545C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vAlign w:val="center"/>
          </w:tcPr>
          <w:p w14:paraId="65669B9E">
            <w:pPr>
              <w:pageBreakBefore w:val="0"/>
              <w:widowControl/>
              <w:kinsoku/>
              <w:wordWrap/>
              <w:overflowPunct/>
              <w:topLinePunct w:val="0"/>
              <w:autoSpaceDE/>
              <w:autoSpaceDN/>
              <w:bidi w:val="0"/>
              <w:spacing w:line="240" w:lineRule="auto"/>
              <w:ind w:left="0" w:leftChars="0" w:right="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2</w:t>
            </w:r>
          </w:p>
        </w:tc>
        <w:tc>
          <w:tcPr>
            <w:tcW w:w="5064" w:type="dxa"/>
          </w:tcPr>
          <w:p w14:paraId="104BFFB9">
            <w:pPr>
              <w:pageBreakBefore w:val="0"/>
              <w:widowControl/>
              <w:kinsoku/>
              <w:wordWrap/>
              <w:overflowPunct/>
              <w:topLinePunct w:val="0"/>
              <w:autoSpaceDE/>
              <w:autoSpaceDN/>
              <w:bidi w:val="0"/>
              <w:spacing w:line="240" w:lineRule="auto"/>
              <w:ind w:left="0" w:leftChars="0"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sz w:val="30"/>
                <w:szCs w:val="30"/>
                <w:lang w:val="en-US" w:eastAsia="zh-CN"/>
              </w:rPr>
              <w:t>鄂温克族自治旗财政事业发展中心</w:t>
            </w:r>
          </w:p>
        </w:tc>
        <w:tc>
          <w:tcPr>
            <w:tcW w:w="3140" w:type="dxa"/>
          </w:tcPr>
          <w:p w14:paraId="754D10DA">
            <w:pPr>
              <w:pageBreakBefore w:val="0"/>
              <w:widowControl/>
              <w:kinsoku/>
              <w:wordWrap/>
              <w:overflowPunct/>
              <w:topLinePunct w:val="0"/>
              <w:autoSpaceDE/>
              <w:autoSpaceDN/>
              <w:bidi w:val="0"/>
              <w:spacing w:line="240" w:lineRule="auto"/>
              <w:ind w:left="0" w:leftChars="0"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公益一类事业单位</w:t>
            </w:r>
          </w:p>
        </w:tc>
      </w:tr>
      <w:tr w14:paraId="211F5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5" w:type="dxa"/>
            <w:vAlign w:val="center"/>
          </w:tcPr>
          <w:p w14:paraId="701366F1">
            <w:pPr>
              <w:pageBreakBefore w:val="0"/>
              <w:widowControl/>
              <w:kinsoku/>
              <w:wordWrap/>
              <w:overflowPunct/>
              <w:topLinePunct w:val="0"/>
              <w:autoSpaceDE/>
              <w:autoSpaceDN/>
              <w:bidi w:val="0"/>
              <w:spacing w:line="240" w:lineRule="auto"/>
              <w:ind w:left="0" w:leftChars="0" w:right="0"/>
              <w:jc w:val="center"/>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3</w:t>
            </w:r>
          </w:p>
        </w:tc>
        <w:tc>
          <w:tcPr>
            <w:tcW w:w="5064" w:type="dxa"/>
          </w:tcPr>
          <w:p w14:paraId="2F8B5C84">
            <w:pPr>
              <w:pageBreakBefore w:val="0"/>
              <w:widowControl/>
              <w:kinsoku/>
              <w:wordWrap/>
              <w:overflowPunct/>
              <w:topLinePunct w:val="0"/>
              <w:autoSpaceDE/>
              <w:autoSpaceDN/>
              <w:bidi w:val="0"/>
              <w:spacing w:line="240" w:lineRule="auto"/>
              <w:ind w:left="0" w:leftChars="0"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sz w:val="30"/>
                <w:szCs w:val="30"/>
                <w:lang w:val="en-US" w:eastAsia="zh-CN"/>
              </w:rPr>
              <w:t>鄂温克族自治旗财政局综合保障中心</w:t>
            </w:r>
          </w:p>
        </w:tc>
        <w:tc>
          <w:tcPr>
            <w:tcW w:w="3140" w:type="dxa"/>
          </w:tcPr>
          <w:p w14:paraId="626DF26F">
            <w:pPr>
              <w:pageBreakBefore w:val="0"/>
              <w:widowControl/>
              <w:kinsoku/>
              <w:wordWrap/>
              <w:overflowPunct/>
              <w:topLinePunct w:val="0"/>
              <w:autoSpaceDE/>
              <w:autoSpaceDN/>
              <w:bidi w:val="0"/>
              <w:spacing w:line="240" w:lineRule="auto"/>
              <w:ind w:left="0" w:leftChars="0" w:right="0"/>
              <w:jc w:val="left"/>
              <w:textAlignment w:val="auto"/>
              <w:rPr>
                <w:rFonts w:hint="eastAsia" w:ascii="宋体" w:hAnsi="宋体" w:eastAsia="宋体" w:cs="宋体"/>
                <w:color w:val="000000"/>
                <w:kern w:val="0"/>
                <w:sz w:val="30"/>
                <w:szCs w:val="30"/>
                <w:lang w:bidi="ar"/>
              </w:rPr>
            </w:pPr>
            <w:r>
              <w:rPr>
                <w:rFonts w:hint="eastAsia" w:ascii="宋体" w:hAnsi="宋体" w:eastAsia="宋体" w:cs="宋体"/>
                <w:color w:val="000000"/>
                <w:kern w:val="0"/>
                <w:sz w:val="30"/>
                <w:szCs w:val="30"/>
                <w:lang w:bidi="ar"/>
              </w:rPr>
              <w:t>公益一类事业单位</w:t>
            </w:r>
          </w:p>
        </w:tc>
      </w:tr>
    </w:tbl>
    <w:p w14:paraId="150D5154">
      <w:pPr>
        <w:keepNext w:val="0"/>
        <w:keepLines w:val="0"/>
        <w:pageBreakBefore w:val="0"/>
        <w:widowControl/>
        <w:kinsoku/>
        <w:wordWrap/>
        <w:overflowPunct/>
        <w:topLinePunct w:val="0"/>
        <w:autoSpaceDE/>
        <w:autoSpaceDN/>
        <w:bidi w:val="0"/>
        <w:adjustRightInd/>
        <w:snapToGrid/>
        <w:spacing w:line="240" w:lineRule="auto"/>
        <w:ind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三、2023年度部门（单位）主要工作完成情况</w:t>
      </w:r>
    </w:p>
    <w:p w14:paraId="716125B1">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1、培植财源抓好财政收入。强化收入征管，优化支出结构，提高收入质量。针对重大项目、重点企业、重点行业进行动态监控，加强收入分析，强化服务。加强收入调度，强化部门间配合，杜绝“跑、冒、滴、漏”，做到应征尽征、应缴尽缴。优化财政收入结构，规范收入管理，巩固提高收入质量。</w:t>
      </w:r>
    </w:p>
    <w:p w14:paraId="42136C01">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kern w:val="2"/>
          <w:sz w:val="32"/>
          <w:szCs w:val="32"/>
          <w:u w:val="none"/>
          <w:lang w:val="en-US" w:eastAsia="zh-CN" w:bidi="ar-SA"/>
        </w:rPr>
      </w:pPr>
      <w:r>
        <w:rPr>
          <w:rFonts w:hint="eastAsia" w:ascii="宋体" w:hAnsi="宋体" w:eastAsia="宋体" w:cs="宋体"/>
          <w:kern w:val="2"/>
          <w:sz w:val="32"/>
          <w:szCs w:val="32"/>
          <w:u w:val="none"/>
          <w:lang w:val="en-US" w:eastAsia="zh-CN" w:bidi="ar-SA"/>
        </w:rPr>
        <w:t>2、压缩一般公共预算。切实树立“节支也是增收”的观念，严格控制和压缩一般性支出，牢牢兜住全县“三保”底线，妥善化解新冠肺炎疫情防控工作带来的增支压力，积极推行预算管理一体化改革，规范和统一预算管理及预算执行、绩效管理工作流程，做好一般公共预算压减。</w:t>
      </w:r>
    </w:p>
    <w:p w14:paraId="6F1195FE">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right="0" w:firstLine="640" w:firstLineChars="200"/>
        <w:jc w:val="both"/>
        <w:textAlignment w:val="auto"/>
        <w:rPr>
          <w:rFonts w:hint="eastAsia" w:ascii="宋体" w:hAnsi="宋体" w:eastAsia="宋体" w:cs="宋体"/>
        </w:rPr>
      </w:pPr>
      <w:r>
        <w:rPr>
          <w:rFonts w:hint="eastAsia" w:ascii="宋体" w:hAnsi="宋体" w:eastAsia="宋体" w:cs="宋体"/>
          <w:kern w:val="2"/>
          <w:sz w:val="32"/>
          <w:szCs w:val="32"/>
          <w:u w:val="none"/>
          <w:lang w:val="en-US" w:eastAsia="zh-CN" w:bidi="ar-SA"/>
        </w:rPr>
        <w:t>3、积极向上争资争项。抢抓国家积极的财政政策机遇，主动把握国家、自治区、市宏观政策导向，积极向上对接，争取在基本财力、民生保障和其他补助方面向上级争取政策、项目和资金。切实加大专项债券项目申报和资金争取力度，吃透政策，加强部门协作，合力做好向上争取新增专项债券工作。</w:t>
      </w:r>
    </w:p>
    <w:p w14:paraId="0B93ED7E">
      <w:pPr>
        <w:keepNext w:val="0"/>
        <w:keepLines w:val="0"/>
        <w:pageBreakBefore w:val="0"/>
        <w:widowControl/>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宋体" w:hAnsi="宋体" w:eastAsia="宋体" w:cs="宋体"/>
          <w:kern w:val="0"/>
          <w:sz w:val="24"/>
        </w:rPr>
      </w:pPr>
    </w:p>
    <w:p w14:paraId="7F599E0F">
      <w:pPr>
        <w:pStyle w:val="5"/>
        <w:keepNext w:val="0"/>
        <w:keepLines w:val="0"/>
        <w:pageBreakBefore w:val="0"/>
        <w:widowControl/>
        <w:kinsoku/>
        <w:wordWrap/>
        <w:overflowPunct/>
        <w:topLinePunct w:val="0"/>
        <w:autoSpaceDE/>
        <w:autoSpaceDN/>
        <w:bidi w:val="0"/>
        <w:spacing w:before="0" w:after="0" w:line="240" w:lineRule="auto"/>
        <w:ind w:left="0" w:leftChars="0"/>
        <w:jc w:val="center"/>
        <w:textAlignment w:val="auto"/>
        <w:rPr>
          <w:rFonts w:hint="eastAsia" w:ascii="宋体" w:hAnsi="宋体" w:eastAsia="宋体" w:cs="宋体"/>
          <w:b/>
          <w:bCs/>
          <w:kern w:val="0"/>
          <w:sz w:val="27"/>
          <w:szCs w:val="27"/>
          <w:lang w:val="en-US" w:eastAsia="zh-CN"/>
        </w:rPr>
      </w:pPr>
      <w:r>
        <w:rPr>
          <w:rFonts w:hint="eastAsia" w:ascii="宋体" w:hAnsi="宋体" w:eastAsia="宋体" w:cs="宋体"/>
          <w:kern w:val="0"/>
          <w:sz w:val="36"/>
          <w:szCs w:val="36"/>
        </w:rPr>
        <w:t>第二部分  部门（单位）决算情况说明</w:t>
      </w:r>
    </w:p>
    <w:p w14:paraId="2AB9D24C">
      <w:pPr>
        <w:pageBreakBefore w:val="0"/>
        <w:widowControl/>
        <w:kinsoku/>
        <w:wordWrap/>
        <w:overflowPunct/>
        <w:topLinePunct w:val="0"/>
        <w:autoSpaceDE/>
        <w:autoSpaceDN/>
        <w:bidi w:val="0"/>
        <w:spacing w:line="240" w:lineRule="auto"/>
        <w:ind w:left="0" w:leftChars="0" w:firstLine="542" w:firstLineChars="200"/>
        <w:jc w:val="left"/>
        <w:textAlignment w:val="auto"/>
        <w:rPr>
          <w:rFonts w:hint="eastAsia" w:ascii="宋体" w:hAnsi="宋体" w:eastAsia="宋体" w:cs="宋体"/>
          <w:b/>
          <w:bCs/>
          <w:kern w:val="0"/>
          <w:sz w:val="32"/>
          <w:szCs w:val="32"/>
        </w:rPr>
      </w:pPr>
      <w:r>
        <w:rPr>
          <w:rFonts w:hint="eastAsia" w:ascii="宋体" w:hAnsi="宋体" w:eastAsia="宋体" w:cs="宋体"/>
          <w:b/>
          <w:bCs/>
          <w:kern w:val="0"/>
          <w:sz w:val="27"/>
          <w:szCs w:val="27"/>
          <w:lang w:val="en-US" w:eastAsia="zh-CN"/>
        </w:rPr>
        <w:t xml:space="preserve"> </w:t>
      </w:r>
      <w:r>
        <w:rPr>
          <w:rFonts w:hint="eastAsia" w:ascii="宋体" w:hAnsi="宋体" w:eastAsia="宋体" w:cs="宋体"/>
          <w:b/>
          <w:bCs/>
          <w:kern w:val="0"/>
          <w:sz w:val="32"/>
          <w:szCs w:val="32"/>
        </w:rPr>
        <w:t>一、收入支出决算总体情况说明</w:t>
      </w:r>
    </w:p>
    <w:p w14:paraId="44FCC608">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2023年度收入、支出决算总计</w:t>
      </w:r>
      <w:r>
        <w:rPr>
          <w:rFonts w:hint="eastAsia" w:ascii="宋体" w:hAnsi="宋体" w:eastAsia="宋体" w:cs="宋体"/>
          <w:kern w:val="0"/>
          <w:sz w:val="32"/>
          <w:szCs w:val="32"/>
          <w:u w:val="single"/>
        </w:rPr>
        <w:t xml:space="preserve"> 1,553.44</w:t>
      </w:r>
      <w:r>
        <w:rPr>
          <w:rFonts w:hint="eastAsia" w:ascii="宋体" w:hAnsi="宋体" w:eastAsia="宋体" w:cs="宋体"/>
          <w:kern w:val="0"/>
          <w:sz w:val="32"/>
          <w:szCs w:val="32"/>
        </w:rPr>
        <w:t>万元。与年初预算相比，收、支总计各增加</w:t>
      </w:r>
      <w:r>
        <w:rPr>
          <w:rFonts w:hint="eastAsia" w:ascii="宋体" w:hAnsi="宋体" w:eastAsia="宋体" w:cs="宋体"/>
          <w:kern w:val="0"/>
          <w:sz w:val="32"/>
          <w:szCs w:val="32"/>
          <w:u w:val="single"/>
        </w:rPr>
        <w:t xml:space="preserve"> 61.31</w:t>
      </w:r>
      <w:r>
        <w:rPr>
          <w:rFonts w:hint="eastAsia" w:ascii="宋体" w:hAnsi="宋体" w:eastAsia="宋体" w:cs="宋体"/>
          <w:kern w:val="0"/>
          <w:sz w:val="32"/>
          <w:szCs w:val="32"/>
        </w:rPr>
        <w:t>万元，增</w:t>
      </w:r>
      <w:r>
        <w:rPr>
          <w:rFonts w:hint="eastAsia" w:ascii="宋体" w:hAnsi="宋体" w:eastAsia="宋体" w:cs="宋体"/>
          <w:kern w:val="0"/>
          <w:sz w:val="32"/>
          <w:szCs w:val="32"/>
          <w:lang w:val="en-US" w:eastAsia="zh-CN"/>
        </w:rPr>
        <w:t>加</w:t>
      </w:r>
      <w:r>
        <w:rPr>
          <w:rFonts w:hint="eastAsia" w:ascii="宋体" w:hAnsi="宋体" w:eastAsia="宋体" w:cs="宋体"/>
          <w:kern w:val="0"/>
          <w:sz w:val="32"/>
          <w:szCs w:val="32"/>
          <w:u w:val="single"/>
        </w:rPr>
        <w:t xml:space="preserve"> 4.11</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预算一体化服务费与造价评审服务费与上年相比有所增加</w:t>
      </w:r>
      <w:r>
        <w:rPr>
          <w:rFonts w:hint="eastAsia" w:ascii="宋体" w:hAnsi="宋体" w:eastAsia="宋体" w:cs="宋体"/>
          <w:kern w:val="0"/>
          <w:sz w:val="32"/>
          <w:szCs w:val="32"/>
        </w:rPr>
        <w:t>；与上年决算相比，收、支总计各增加</w:t>
      </w:r>
      <w:r>
        <w:rPr>
          <w:rFonts w:hint="eastAsia" w:ascii="宋体" w:hAnsi="宋体" w:eastAsia="宋体" w:cs="宋体"/>
          <w:kern w:val="0"/>
          <w:sz w:val="32"/>
          <w:szCs w:val="32"/>
          <w:u w:val="single"/>
        </w:rPr>
        <w:t xml:space="preserve"> 650.83</w:t>
      </w:r>
      <w:r>
        <w:rPr>
          <w:rFonts w:hint="eastAsia" w:ascii="宋体" w:hAnsi="宋体" w:eastAsia="宋体" w:cs="宋体"/>
          <w:kern w:val="0"/>
          <w:sz w:val="32"/>
          <w:szCs w:val="32"/>
        </w:rPr>
        <w:t>万元，增长</w:t>
      </w:r>
      <w:r>
        <w:rPr>
          <w:rFonts w:hint="eastAsia" w:ascii="宋体" w:hAnsi="宋体" w:eastAsia="宋体" w:cs="宋体"/>
          <w:kern w:val="0"/>
          <w:sz w:val="32"/>
          <w:szCs w:val="32"/>
          <w:u w:val="single"/>
        </w:rPr>
        <w:t xml:space="preserve"> 72.11</w:t>
      </w:r>
      <w:r>
        <w:rPr>
          <w:rFonts w:hint="eastAsia" w:ascii="宋体" w:hAnsi="宋体" w:eastAsia="宋体" w:cs="宋体"/>
          <w:kern w:val="0"/>
          <w:sz w:val="32"/>
          <w:szCs w:val="32"/>
        </w:rPr>
        <w:t>%。其中：</w:t>
      </w:r>
    </w:p>
    <w:p w14:paraId="021A9315">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（一）收入决算总计</w:t>
      </w:r>
      <w:r>
        <w:rPr>
          <w:rFonts w:hint="eastAsia" w:ascii="宋体" w:hAnsi="宋体" w:eastAsia="宋体" w:cs="宋体"/>
          <w:b/>
          <w:bCs/>
          <w:kern w:val="0"/>
          <w:sz w:val="32"/>
          <w:szCs w:val="32"/>
          <w:u w:val="single"/>
        </w:rPr>
        <w:t xml:space="preserve"> 1,553.44</w:t>
      </w:r>
      <w:r>
        <w:rPr>
          <w:rFonts w:hint="eastAsia" w:ascii="宋体" w:hAnsi="宋体" w:eastAsia="宋体" w:cs="宋体"/>
          <w:b/>
          <w:bCs/>
          <w:kern w:val="0"/>
          <w:sz w:val="32"/>
          <w:szCs w:val="32"/>
        </w:rPr>
        <w:t>万元。包括：</w:t>
      </w:r>
    </w:p>
    <w:p w14:paraId="03CA3D6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1.本年收入决算合计</w:t>
      </w:r>
      <w:r>
        <w:rPr>
          <w:rFonts w:hint="eastAsia" w:ascii="宋体" w:hAnsi="宋体" w:eastAsia="宋体" w:cs="宋体"/>
          <w:kern w:val="0"/>
          <w:sz w:val="32"/>
          <w:szCs w:val="32"/>
          <w:u w:val="single"/>
        </w:rPr>
        <w:t xml:space="preserve"> 1,553.44</w:t>
      </w:r>
      <w:r>
        <w:rPr>
          <w:rFonts w:hint="eastAsia" w:ascii="宋体" w:hAnsi="宋体" w:eastAsia="宋体" w:cs="宋体"/>
          <w:kern w:val="0"/>
          <w:sz w:val="32"/>
          <w:szCs w:val="32"/>
        </w:rPr>
        <w:t>万元。与上年决算相比，增加</w:t>
      </w:r>
      <w:r>
        <w:rPr>
          <w:rFonts w:hint="eastAsia" w:ascii="宋体" w:hAnsi="宋体" w:eastAsia="宋体" w:cs="宋体"/>
          <w:kern w:val="0"/>
          <w:sz w:val="32"/>
          <w:szCs w:val="32"/>
          <w:u w:val="single"/>
        </w:rPr>
        <w:t xml:space="preserve"> 650.83</w:t>
      </w:r>
      <w:r>
        <w:rPr>
          <w:rFonts w:hint="eastAsia" w:ascii="宋体" w:hAnsi="宋体" w:eastAsia="宋体" w:cs="宋体"/>
          <w:kern w:val="0"/>
          <w:sz w:val="32"/>
          <w:szCs w:val="32"/>
        </w:rPr>
        <w:t xml:space="preserve">万元，增长 </w:t>
      </w:r>
      <w:r>
        <w:rPr>
          <w:rFonts w:hint="eastAsia" w:ascii="宋体" w:hAnsi="宋体" w:eastAsia="宋体" w:cs="宋体"/>
          <w:kern w:val="0"/>
          <w:sz w:val="32"/>
          <w:szCs w:val="32"/>
          <w:u w:val="single"/>
        </w:rPr>
        <w:t>72.11</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预算一体化服务费与造价评审服务费与上年相比有所增加</w:t>
      </w:r>
      <w:r>
        <w:rPr>
          <w:rFonts w:hint="eastAsia" w:ascii="宋体" w:hAnsi="宋体" w:eastAsia="宋体" w:cs="宋体"/>
          <w:kern w:val="0"/>
          <w:sz w:val="32"/>
          <w:szCs w:val="32"/>
        </w:rPr>
        <w:t>。</w:t>
      </w:r>
    </w:p>
    <w:p w14:paraId="66F3BB0D">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2.使用非财政拨款结余和专用结余</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万元。与上年决算相比，增加（减少）</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万元，增长（减少）</w:t>
      </w:r>
      <w:r>
        <w:rPr>
          <w:rFonts w:hint="eastAsia" w:ascii="宋体" w:hAnsi="宋体" w:eastAsia="宋体" w:cs="宋体"/>
          <w:kern w:val="0"/>
          <w:sz w:val="32"/>
          <w:szCs w:val="32"/>
          <w:u w:val="single"/>
        </w:rPr>
        <w:t xml:space="preserve"> </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不存在此项内容</w:t>
      </w:r>
      <w:r>
        <w:rPr>
          <w:rFonts w:hint="eastAsia" w:ascii="宋体" w:hAnsi="宋体" w:eastAsia="宋体" w:cs="宋体"/>
          <w:kern w:val="0"/>
          <w:sz w:val="32"/>
          <w:szCs w:val="32"/>
        </w:rPr>
        <w:t>。</w:t>
      </w:r>
    </w:p>
    <w:p w14:paraId="3AD60CA0">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 xml:space="preserve">3.年初结转和结余 </w:t>
      </w:r>
      <w:r>
        <w:rPr>
          <w:rFonts w:hint="eastAsia" w:ascii="宋体" w:hAnsi="宋体" w:eastAsia="宋体" w:cs="宋体"/>
          <w:kern w:val="0"/>
          <w:sz w:val="32"/>
          <w:szCs w:val="32"/>
          <w:u w:val="single"/>
        </w:rPr>
        <w:t>0.00</w:t>
      </w:r>
      <w:r>
        <w:rPr>
          <w:rFonts w:hint="eastAsia" w:ascii="宋体" w:hAnsi="宋体" w:eastAsia="宋体" w:cs="宋体"/>
          <w:kern w:val="0"/>
          <w:sz w:val="32"/>
          <w:szCs w:val="32"/>
        </w:rPr>
        <w:t>万元。与上年决算相比，增加（减少）</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万元，增长（减少）</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不存在此项内容</w:t>
      </w:r>
      <w:r>
        <w:rPr>
          <w:rFonts w:hint="eastAsia" w:ascii="宋体" w:hAnsi="宋体" w:eastAsia="宋体" w:cs="宋体"/>
          <w:kern w:val="0"/>
          <w:sz w:val="32"/>
          <w:szCs w:val="32"/>
        </w:rPr>
        <w:t>。</w:t>
      </w:r>
    </w:p>
    <w:p w14:paraId="6BB485B7">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（二）支出决算总计</w:t>
      </w:r>
      <w:r>
        <w:rPr>
          <w:rFonts w:hint="eastAsia" w:ascii="宋体" w:hAnsi="宋体" w:eastAsia="宋体" w:cs="宋体"/>
          <w:b/>
          <w:bCs/>
          <w:kern w:val="0"/>
          <w:sz w:val="32"/>
          <w:szCs w:val="32"/>
          <w:u w:val="single"/>
        </w:rPr>
        <w:t xml:space="preserve"> 1,553.44</w:t>
      </w:r>
      <w:r>
        <w:rPr>
          <w:rFonts w:hint="eastAsia" w:ascii="宋体" w:hAnsi="宋体" w:eastAsia="宋体" w:cs="宋体"/>
          <w:b/>
          <w:bCs/>
          <w:kern w:val="0"/>
          <w:sz w:val="32"/>
          <w:szCs w:val="32"/>
        </w:rPr>
        <w:t>万元。包括：</w:t>
      </w:r>
    </w:p>
    <w:p w14:paraId="3AD73A76">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1.本年支出决算合计</w:t>
      </w:r>
      <w:r>
        <w:rPr>
          <w:rFonts w:hint="eastAsia" w:ascii="宋体" w:hAnsi="宋体" w:eastAsia="宋体" w:cs="宋体"/>
          <w:kern w:val="0"/>
          <w:sz w:val="32"/>
          <w:szCs w:val="32"/>
          <w:u w:val="single"/>
        </w:rPr>
        <w:t xml:space="preserve"> 1,553.44</w:t>
      </w:r>
      <w:r>
        <w:rPr>
          <w:rFonts w:hint="eastAsia" w:ascii="宋体" w:hAnsi="宋体" w:eastAsia="宋体" w:cs="宋体"/>
          <w:kern w:val="0"/>
          <w:sz w:val="32"/>
          <w:szCs w:val="32"/>
        </w:rPr>
        <w:t>万元。与上年决算相比，增加</w:t>
      </w:r>
      <w:r>
        <w:rPr>
          <w:rFonts w:hint="eastAsia" w:ascii="宋体" w:hAnsi="宋体" w:eastAsia="宋体" w:cs="宋体"/>
          <w:kern w:val="0"/>
          <w:sz w:val="32"/>
          <w:szCs w:val="32"/>
          <w:u w:val="single"/>
        </w:rPr>
        <w:t xml:space="preserve"> 650.83</w:t>
      </w:r>
      <w:r>
        <w:rPr>
          <w:rFonts w:hint="eastAsia" w:ascii="宋体" w:hAnsi="宋体" w:eastAsia="宋体" w:cs="宋体"/>
          <w:kern w:val="0"/>
          <w:sz w:val="32"/>
          <w:szCs w:val="32"/>
        </w:rPr>
        <w:t>万元，增长</w:t>
      </w:r>
      <w:r>
        <w:rPr>
          <w:rFonts w:hint="eastAsia" w:ascii="宋体" w:hAnsi="宋体" w:eastAsia="宋体" w:cs="宋体"/>
          <w:kern w:val="0"/>
          <w:sz w:val="32"/>
          <w:szCs w:val="32"/>
          <w:u w:val="single"/>
        </w:rPr>
        <w:t xml:space="preserve"> 72.11</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预算一体化服务费与造价评审服务费与上年相比有所增加</w:t>
      </w:r>
      <w:r>
        <w:rPr>
          <w:rFonts w:hint="eastAsia" w:ascii="宋体" w:hAnsi="宋体" w:eastAsia="宋体" w:cs="宋体"/>
          <w:kern w:val="0"/>
          <w:sz w:val="32"/>
          <w:szCs w:val="32"/>
        </w:rPr>
        <w:t>。</w:t>
      </w:r>
    </w:p>
    <w:p w14:paraId="376124B1">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2.结余分配</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万元。结余分配事项：</w:t>
      </w:r>
      <w:r>
        <w:rPr>
          <w:rFonts w:hint="eastAsia" w:ascii="宋体" w:hAnsi="宋体" w:eastAsia="宋体" w:cs="宋体"/>
          <w:kern w:val="0"/>
          <w:sz w:val="32"/>
          <w:szCs w:val="32"/>
          <w:lang w:val="en-US" w:eastAsia="zh-CN"/>
        </w:rPr>
        <w:t>无</w:t>
      </w:r>
      <w:r>
        <w:rPr>
          <w:rFonts w:hint="eastAsia" w:ascii="宋体" w:hAnsi="宋体" w:eastAsia="宋体" w:cs="宋体"/>
          <w:kern w:val="0"/>
          <w:sz w:val="32"/>
          <w:szCs w:val="32"/>
        </w:rPr>
        <w:t>。与上年决算相比，增加（减少）</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万元，增长（减少）</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不存在此项内容</w:t>
      </w:r>
      <w:r>
        <w:rPr>
          <w:rFonts w:hint="eastAsia" w:ascii="宋体" w:hAnsi="宋体" w:eastAsia="宋体" w:cs="宋体"/>
          <w:kern w:val="0"/>
          <w:sz w:val="32"/>
          <w:szCs w:val="32"/>
        </w:rPr>
        <w:t>。</w:t>
      </w:r>
    </w:p>
    <w:p w14:paraId="145F8FDC">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b/>
          <w:bCs/>
          <w:kern w:val="0"/>
          <w:sz w:val="32"/>
          <w:szCs w:val="32"/>
        </w:rPr>
      </w:pPr>
      <w:r>
        <w:rPr>
          <w:rFonts w:hint="eastAsia" w:ascii="宋体" w:hAnsi="宋体" w:eastAsia="宋体" w:cs="宋体"/>
          <w:kern w:val="0"/>
          <w:sz w:val="32"/>
          <w:szCs w:val="32"/>
        </w:rPr>
        <w:t>3.年末结转和结余</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万元。结转和结余事项：</w:t>
      </w:r>
      <w:r>
        <w:rPr>
          <w:rFonts w:hint="eastAsia" w:ascii="宋体" w:hAnsi="宋体" w:eastAsia="宋体" w:cs="宋体"/>
          <w:kern w:val="0"/>
          <w:sz w:val="32"/>
          <w:szCs w:val="32"/>
          <w:lang w:val="en-US" w:eastAsia="zh-CN"/>
        </w:rPr>
        <w:t>无</w:t>
      </w:r>
      <w:r>
        <w:rPr>
          <w:rFonts w:hint="eastAsia" w:ascii="宋体" w:hAnsi="宋体" w:eastAsia="宋体" w:cs="宋体"/>
          <w:kern w:val="0"/>
          <w:sz w:val="32"/>
          <w:szCs w:val="32"/>
        </w:rPr>
        <w:t>。与上年决算相比，增加（减少）</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万元，增长（减少）</w:t>
      </w:r>
      <w:r>
        <w:rPr>
          <w:rFonts w:hint="eastAsia" w:ascii="宋体" w:hAnsi="宋体" w:eastAsia="宋体" w:cs="宋体"/>
          <w:kern w:val="0"/>
          <w:sz w:val="32"/>
          <w:szCs w:val="32"/>
          <w:u w:val="single"/>
        </w:rPr>
        <w:t xml:space="preserve"> </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不存在此项内容</w:t>
      </w:r>
      <w:r>
        <w:rPr>
          <w:rFonts w:hint="eastAsia" w:ascii="宋体" w:hAnsi="宋体" w:eastAsia="宋体" w:cs="宋体"/>
          <w:kern w:val="0"/>
          <w:sz w:val="32"/>
          <w:szCs w:val="32"/>
        </w:rPr>
        <w:t>。</w:t>
      </w:r>
    </w:p>
    <w:p w14:paraId="7CF203FF">
      <w:pPr>
        <w:pageBreakBefore w:val="0"/>
        <w:widowControl/>
        <w:kinsoku/>
        <w:wordWrap/>
        <w:overflowPunct/>
        <w:topLinePunct w:val="0"/>
        <w:autoSpaceDE/>
        <w:autoSpaceDN/>
        <w:bidi w:val="0"/>
        <w:spacing w:line="240" w:lineRule="auto"/>
        <w:ind w:left="0" w:leftChars="0" w:firstLine="643" w:firstLineChars="200"/>
        <w:jc w:val="left"/>
        <w:textAlignment w:val="auto"/>
        <w:rPr>
          <w:rFonts w:hint="eastAsia" w:ascii="宋体" w:hAnsi="宋体" w:eastAsia="宋体" w:cs="宋体"/>
          <w:b/>
          <w:bCs/>
          <w:kern w:val="0"/>
          <w:sz w:val="32"/>
          <w:szCs w:val="32"/>
        </w:rPr>
      </w:pPr>
      <w:r>
        <w:rPr>
          <w:rFonts w:hint="eastAsia" w:ascii="宋体" w:hAnsi="宋体" w:eastAsia="宋体" w:cs="宋体"/>
          <w:b/>
          <w:bCs/>
          <w:kern w:val="0"/>
          <w:sz w:val="32"/>
          <w:szCs w:val="32"/>
        </w:rPr>
        <w:t>二、收入决算情况说明</w:t>
      </w:r>
    </w:p>
    <w:p w14:paraId="0A413EFA">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2023年度本年收入决算合计</w:t>
      </w:r>
      <w:r>
        <w:rPr>
          <w:rFonts w:hint="eastAsia" w:ascii="宋体" w:hAnsi="宋体" w:eastAsia="宋体" w:cs="宋体"/>
          <w:kern w:val="0"/>
          <w:sz w:val="32"/>
          <w:szCs w:val="32"/>
          <w:u w:val="single"/>
        </w:rPr>
        <w:t xml:space="preserve"> 1,553.44</w:t>
      </w:r>
      <w:r>
        <w:rPr>
          <w:rFonts w:hint="eastAsia" w:ascii="宋体" w:hAnsi="宋体" w:eastAsia="宋体" w:cs="宋体"/>
          <w:kern w:val="0"/>
          <w:sz w:val="32"/>
          <w:szCs w:val="32"/>
        </w:rPr>
        <w:t>万元，其中：</w:t>
      </w:r>
    </w:p>
    <w:p w14:paraId="5CE43EB8">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本年一般公共预算财政拨款收入</w:t>
      </w:r>
      <w:r>
        <w:rPr>
          <w:rFonts w:hint="eastAsia" w:ascii="宋体" w:hAnsi="宋体" w:eastAsia="宋体" w:cs="宋体"/>
          <w:kern w:val="0"/>
          <w:sz w:val="32"/>
          <w:szCs w:val="32"/>
          <w:u w:val="single"/>
        </w:rPr>
        <w:t xml:space="preserve"> 1,553.44</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100.00</w:t>
      </w:r>
      <w:r>
        <w:rPr>
          <w:rFonts w:hint="eastAsia" w:ascii="宋体" w:hAnsi="宋体" w:eastAsia="宋体" w:cs="宋体"/>
          <w:kern w:val="0"/>
          <w:sz w:val="32"/>
          <w:szCs w:val="32"/>
        </w:rPr>
        <w:t>%；</w:t>
      </w:r>
    </w:p>
    <w:p w14:paraId="2AC48656">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本年政府性基金预算财政拨款收入</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4C14A74F">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本年国有资本经营预算财政拨款收入</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159C3FFB">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本年上级补助收入</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1E7B9603">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本年事业收入</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5F9E931C">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本年经营收入</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29FD1A2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本年附属单位上缴收入</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538B2A8C">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本年其他收入</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040FF672">
      <w:pPr>
        <w:keepNext w:val="0"/>
        <w:keepLines w:val="0"/>
        <w:pageBreakBefore w:val="0"/>
        <w:widowControl/>
        <w:tabs>
          <w:tab w:val="left" w:pos="4159"/>
        </w:tabs>
        <w:kinsoku/>
        <w:wordWrap/>
        <w:overflowPunct/>
        <w:topLinePunct w:val="0"/>
        <w:autoSpaceDE/>
        <w:autoSpaceDN/>
        <w:bidi w:val="0"/>
        <w:adjustRightInd/>
        <w:snapToGrid/>
        <w:spacing w:line="240" w:lineRule="auto"/>
        <w:ind w:left="0" w:leftChars="0"/>
        <w:jc w:val="center"/>
        <w:textAlignment w:val="auto"/>
        <w:rPr>
          <w:rFonts w:hint="eastAsia" w:ascii="宋体" w:hAnsi="宋体" w:eastAsia="宋体" w:cs="宋体"/>
          <w:color w:val="0E00FE"/>
          <w:kern w:val="0"/>
          <w:sz w:val="32"/>
          <w:szCs w:val="32"/>
          <w:lang w:val="en-US" w:eastAsia="zh-CN"/>
        </w:rPr>
      </w:pPr>
      <w:r>
        <w:rPr>
          <w:rFonts w:hint="eastAsia" w:ascii="宋体" w:hAnsi="宋体" w:eastAsia="宋体" w:cs="宋体"/>
          <w:kern w:val="0"/>
          <w:sz w:val="32"/>
          <w:szCs w:val="32"/>
        </w:rPr>
        <w:t>图1</w:t>
      </w:r>
      <w:r>
        <w:rPr>
          <w:rFonts w:hint="eastAsia" w:ascii="宋体" w:hAnsi="宋体" w:cs="宋体"/>
          <w:kern w:val="0"/>
          <w:sz w:val="32"/>
          <w:szCs w:val="32"/>
          <w:lang w:eastAsia="zh-CN"/>
        </w:rPr>
        <w:t>.</w:t>
      </w:r>
      <w:r>
        <w:rPr>
          <w:rFonts w:hint="eastAsia" w:ascii="宋体" w:hAnsi="宋体" w:eastAsia="宋体" w:cs="宋体"/>
          <w:kern w:val="0"/>
          <w:sz w:val="32"/>
          <w:szCs w:val="32"/>
        </w:rPr>
        <w:t>收入决算图</w:t>
      </w:r>
    </w:p>
    <w:p w14:paraId="07AE149A">
      <w:pPr>
        <w:pStyle w:val="2"/>
        <w:pageBreakBefore w:val="0"/>
        <w:kinsoku/>
        <w:wordWrap/>
        <w:overflowPunct/>
        <w:topLinePunct w:val="0"/>
        <w:autoSpaceDE/>
        <w:autoSpaceDN/>
        <w:bidi w:val="0"/>
        <w:spacing w:after="0" w:line="240" w:lineRule="auto"/>
        <w:ind w:left="0" w:leftChars="0"/>
        <w:textAlignment w:val="auto"/>
        <w:rPr>
          <w:rFonts w:hint="eastAsia" w:ascii="宋体" w:hAnsi="宋体" w:eastAsia="宋体" w:cs="宋体"/>
          <w:b/>
          <w:bCs/>
          <w:kern w:val="0"/>
          <w:sz w:val="32"/>
          <w:szCs w:val="32"/>
        </w:rPr>
      </w:pPr>
      <w:r>
        <w:rPr>
          <w:rFonts w:hint="eastAsia" w:ascii="宋体" w:hAnsi="宋体" w:eastAsia="宋体" w:cs="宋体"/>
          <w:color w:val="0E00FE"/>
          <w:kern w:val="0"/>
          <w:sz w:val="32"/>
          <w:szCs w:val="32"/>
          <w:lang w:val="en-US" w:eastAsia="zh-CN"/>
        </w:rPr>
        <w:drawing>
          <wp:inline distT="0" distB="0" distL="114300" distR="114300">
            <wp:extent cx="5256530" cy="2988310"/>
            <wp:effectExtent l="5080" t="4445" r="5715" b="7620"/>
            <wp:docPr id="2" name="图表 2"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07D7276">
      <w:pPr>
        <w:pageBreakBefore w:val="0"/>
        <w:widowControl/>
        <w:kinsoku/>
        <w:wordWrap/>
        <w:overflowPunct/>
        <w:topLinePunct w:val="0"/>
        <w:autoSpaceDE/>
        <w:autoSpaceDN/>
        <w:bidi w:val="0"/>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xml:space="preserve"> 三、支出决算情况说明</w:t>
      </w:r>
    </w:p>
    <w:p w14:paraId="664C6010">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2023年度本年支出决算合计</w:t>
      </w:r>
      <w:r>
        <w:rPr>
          <w:rFonts w:hint="eastAsia" w:ascii="宋体" w:hAnsi="宋体" w:eastAsia="宋体" w:cs="宋体"/>
          <w:kern w:val="0"/>
          <w:sz w:val="32"/>
          <w:szCs w:val="32"/>
          <w:u w:val="single"/>
        </w:rPr>
        <w:t xml:space="preserve"> 1,553.44</w:t>
      </w:r>
      <w:r>
        <w:rPr>
          <w:rFonts w:hint="eastAsia" w:ascii="宋体" w:hAnsi="宋体" w:eastAsia="宋体" w:cs="宋体"/>
          <w:kern w:val="0"/>
          <w:sz w:val="32"/>
          <w:szCs w:val="32"/>
        </w:rPr>
        <w:t>万元，其中：</w:t>
      </w:r>
    </w:p>
    <w:p w14:paraId="660664E2">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本年基本支出</w:t>
      </w:r>
      <w:r>
        <w:rPr>
          <w:rFonts w:hint="eastAsia" w:ascii="宋体" w:hAnsi="宋体" w:eastAsia="宋体" w:cs="宋体"/>
          <w:kern w:val="0"/>
          <w:sz w:val="32"/>
          <w:szCs w:val="32"/>
          <w:u w:val="single"/>
        </w:rPr>
        <w:t xml:space="preserve"> 1,549.44</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99.74</w:t>
      </w:r>
      <w:r>
        <w:rPr>
          <w:rFonts w:hint="eastAsia" w:ascii="宋体" w:hAnsi="宋体" w:eastAsia="宋体" w:cs="宋体"/>
          <w:kern w:val="0"/>
          <w:sz w:val="32"/>
          <w:szCs w:val="32"/>
        </w:rPr>
        <w:t>%；</w:t>
      </w:r>
    </w:p>
    <w:p w14:paraId="56F8CDB3">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本年项目支出</w:t>
      </w:r>
      <w:r>
        <w:rPr>
          <w:rFonts w:hint="eastAsia" w:ascii="宋体" w:hAnsi="宋体" w:eastAsia="宋体" w:cs="宋体"/>
          <w:kern w:val="0"/>
          <w:sz w:val="32"/>
          <w:szCs w:val="32"/>
          <w:u w:val="single"/>
        </w:rPr>
        <w:t xml:space="preserve"> 4.00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0.26</w:t>
      </w:r>
      <w:r>
        <w:rPr>
          <w:rFonts w:hint="eastAsia" w:ascii="宋体" w:hAnsi="宋体" w:eastAsia="宋体" w:cs="宋体"/>
          <w:kern w:val="0"/>
          <w:sz w:val="32"/>
          <w:szCs w:val="32"/>
        </w:rPr>
        <w:t>%；</w:t>
      </w:r>
    </w:p>
    <w:p w14:paraId="501899B6">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本年上缴上级支出</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13635508">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本年经营支出</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6F13611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本年对附属单位补助支出</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w:t>
      </w:r>
    </w:p>
    <w:p w14:paraId="37BEF758">
      <w:pPr>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kern w:val="0"/>
          <w:sz w:val="32"/>
          <w:szCs w:val="32"/>
        </w:rPr>
      </w:pPr>
      <w:r>
        <w:rPr>
          <w:rFonts w:hint="eastAsia" w:ascii="宋体" w:hAnsi="宋体" w:eastAsia="宋体" w:cs="宋体"/>
          <w:kern w:val="0"/>
          <w:sz w:val="32"/>
          <w:szCs w:val="32"/>
        </w:rPr>
        <w:t>图2.支出决算图</w:t>
      </w:r>
    </w:p>
    <w:p w14:paraId="38365E44">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lang w:eastAsia="zh-CN"/>
        </w:rPr>
      </w:pPr>
      <w:r>
        <w:rPr>
          <w:rFonts w:hint="eastAsia" w:ascii="宋体" w:hAnsi="宋体" w:eastAsia="宋体" w:cs="宋体"/>
          <w:kern w:val="0"/>
          <w:sz w:val="32"/>
          <w:szCs w:val="32"/>
          <w:lang w:eastAsia="zh-CN"/>
        </w:rPr>
        <w:drawing>
          <wp:anchor distT="0" distB="0" distL="114300" distR="114300" simplePos="0" relativeHeight="251659264" behindDoc="0" locked="0" layoutInCell="1" allowOverlap="1">
            <wp:simplePos x="0" y="0"/>
            <wp:positionH relativeFrom="column">
              <wp:posOffset>481330</wp:posOffset>
            </wp:positionH>
            <wp:positionV relativeFrom="paragraph">
              <wp:posOffset>140335</wp:posOffset>
            </wp:positionV>
            <wp:extent cx="5256530" cy="2988310"/>
            <wp:effectExtent l="5080" t="4445" r="5715" b="7620"/>
            <wp:wrapTopAndBottom/>
            <wp:docPr id="3" name="图表 3"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613856BC">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四、财政拨款收入支出决算总体情况说明</w:t>
      </w:r>
    </w:p>
    <w:p w14:paraId="42F5A5FA">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2023年度财政拨款收入、支出决算总计</w:t>
      </w:r>
      <w:r>
        <w:rPr>
          <w:rFonts w:hint="eastAsia" w:ascii="宋体" w:hAnsi="宋体" w:eastAsia="宋体" w:cs="宋体"/>
          <w:kern w:val="0"/>
          <w:sz w:val="32"/>
          <w:szCs w:val="32"/>
          <w:u w:val="single"/>
        </w:rPr>
        <w:t xml:space="preserve"> 1,553.44</w:t>
      </w:r>
      <w:r>
        <w:rPr>
          <w:rFonts w:hint="eastAsia" w:ascii="宋体" w:hAnsi="宋体" w:eastAsia="宋体" w:cs="宋体"/>
          <w:kern w:val="0"/>
          <w:sz w:val="32"/>
          <w:szCs w:val="32"/>
        </w:rPr>
        <w:t>万元，与年初预算相比，收、支总计各增加</w:t>
      </w:r>
      <w:r>
        <w:rPr>
          <w:rFonts w:hint="eastAsia" w:ascii="宋体" w:hAnsi="宋体" w:eastAsia="宋体" w:cs="宋体"/>
          <w:kern w:val="0"/>
          <w:sz w:val="32"/>
          <w:szCs w:val="32"/>
          <w:u w:val="single"/>
        </w:rPr>
        <w:t xml:space="preserve"> 61.31</w:t>
      </w:r>
      <w:r>
        <w:rPr>
          <w:rFonts w:hint="eastAsia" w:ascii="宋体" w:hAnsi="宋体" w:eastAsia="宋体" w:cs="宋体"/>
          <w:kern w:val="0"/>
          <w:sz w:val="32"/>
          <w:szCs w:val="32"/>
        </w:rPr>
        <w:t>万元，增长</w:t>
      </w:r>
      <w:r>
        <w:rPr>
          <w:rFonts w:hint="eastAsia" w:ascii="宋体" w:hAnsi="宋体" w:eastAsia="宋体" w:cs="宋体"/>
          <w:kern w:val="0"/>
          <w:sz w:val="32"/>
          <w:szCs w:val="32"/>
          <w:u w:val="single"/>
        </w:rPr>
        <w:t xml:space="preserve"> 4.11</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预算一体化服务费与造价评审服务费与上年相比有所增加</w:t>
      </w:r>
      <w:r>
        <w:rPr>
          <w:rFonts w:hint="eastAsia" w:ascii="宋体" w:hAnsi="宋体" w:eastAsia="宋体" w:cs="宋体"/>
          <w:kern w:val="0"/>
          <w:sz w:val="32"/>
          <w:szCs w:val="32"/>
        </w:rPr>
        <w:t>；与上年决算相比，收、支总计各增加</w:t>
      </w:r>
      <w:r>
        <w:rPr>
          <w:rFonts w:hint="eastAsia" w:ascii="宋体" w:hAnsi="宋体" w:eastAsia="宋体" w:cs="宋体"/>
          <w:kern w:val="0"/>
          <w:sz w:val="32"/>
          <w:szCs w:val="32"/>
          <w:u w:val="single"/>
        </w:rPr>
        <w:t xml:space="preserve"> 650.83</w:t>
      </w:r>
      <w:r>
        <w:rPr>
          <w:rFonts w:hint="eastAsia" w:ascii="宋体" w:hAnsi="宋体" w:eastAsia="宋体" w:cs="宋体"/>
          <w:kern w:val="0"/>
          <w:sz w:val="32"/>
          <w:szCs w:val="32"/>
        </w:rPr>
        <w:t>万元，增长</w:t>
      </w:r>
      <w:r>
        <w:rPr>
          <w:rFonts w:hint="eastAsia" w:ascii="宋体" w:hAnsi="宋体" w:eastAsia="宋体" w:cs="宋体"/>
          <w:kern w:val="0"/>
          <w:sz w:val="32"/>
          <w:szCs w:val="32"/>
          <w:u w:val="single"/>
        </w:rPr>
        <w:t xml:space="preserve"> 72.11</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预算一体化服务费与造价评审服务费与上年相比有所增加</w:t>
      </w:r>
      <w:r>
        <w:rPr>
          <w:rFonts w:hint="eastAsia" w:ascii="宋体" w:hAnsi="宋体" w:eastAsia="宋体" w:cs="宋体"/>
          <w:kern w:val="0"/>
          <w:sz w:val="32"/>
          <w:szCs w:val="32"/>
        </w:rPr>
        <w:t>。</w:t>
      </w:r>
    </w:p>
    <w:p w14:paraId="5C5B53C5">
      <w:pPr>
        <w:pageBreakBefore w:val="0"/>
        <w:widowControl/>
        <w:numPr>
          <w:ilvl w:val="0"/>
          <w:numId w:val="1"/>
        </w:numPr>
        <w:kinsoku/>
        <w:wordWrap/>
        <w:overflowPunct/>
        <w:topLinePunct w:val="0"/>
        <w:autoSpaceDE/>
        <w:autoSpaceDN/>
        <w:bidi w:val="0"/>
        <w:spacing w:line="240" w:lineRule="auto"/>
        <w:ind w:left="0" w:leftChars="0" w:firstLine="0" w:firstLineChars="0"/>
        <w:jc w:val="left"/>
        <w:textAlignment w:val="auto"/>
        <w:rPr>
          <w:rFonts w:hint="eastAsia" w:ascii="宋体" w:hAnsi="宋体" w:eastAsia="宋体" w:cs="宋体"/>
          <w:b/>
          <w:bCs/>
          <w:kern w:val="0"/>
          <w:sz w:val="32"/>
          <w:szCs w:val="32"/>
        </w:rPr>
      </w:pPr>
      <w:r>
        <w:rPr>
          <w:rFonts w:hint="eastAsia" w:ascii="宋体" w:hAnsi="宋体" w:eastAsia="宋体" w:cs="宋体"/>
          <w:b/>
          <w:bCs/>
          <w:kern w:val="0"/>
          <w:sz w:val="32"/>
          <w:szCs w:val="32"/>
        </w:rPr>
        <w:t>一般公共预算财政拨款支出决算情况说明</w:t>
      </w:r>
    </w:p>
    <w:p w14:paraId="242A872D">
      <w:pPr>
        <w:pageBreakBefore w:val="0"/>
        <w:widowControl/>
        <w:numPr>
          <w:ilvl w:val="0"/>
          <w:numId w:val="0"/>
        </w:numPr>
        <w:kinsoku/>
        <w:wordWrap/>
        <w:overflowPunct/>
        <w:topLinePunct w:val="0"/>
        <w:autoSpaceDE/>
        <w:autoSpaceDN/>
        <w:bidi w:val="0"/>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2023年度一般公共预算财政拨款支出决算 1,553.44万元。与年初预算 1,492.13万元相比，完成年初预算的 104.11%。其中：</w:t>
      </w:r>
    </w:p>
    <w:p w14:paraId="5495DF0C">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（一）一般公共服务（</w:t>
      </w:r>
      <w:r>
        <w:rPr>
          <w:rFonts w:hint="eastAsia" w:ascii="宋体" w:hAnsi="宋体" w:eastAsia="宋体" w:cs="宋体"/>
          <w:b/>
          <w:bCs/>
          <w:kern w:val="0"/>
          <w:sz w:val="32"/>
          <w:szCs w:val="32"/>
          <w:lang w:val="en-US" w:eastAsia="zh-CN"/>
        </w:rPr>
        <w:t>201</w:t>
      </w:r>
      <w:r>
        <w:rPr>
          <w:rFonts w:hint="eastAsia" w:ascii="宋体" w:hAnsi="宋体" w:eastAsia="宋体" w:cs="宋体"/>
          <w:b/>
          <w:bCs/>
          <w:kern w:val="0"/>
          <w:sz w:val="32"/>
          <w:szCs w:val="32"/>
        </w:rPr>
        <w:t>）</w:t>
      </w:r>
    </w:p>
    <w:p w14:paraId="3F06D5F8">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kern w:val="0"/>
          <w:sz w:val="32"/>
          <w:szCs w:val="32"/>
        </w:rPr>
        <w:t>一般公共服务类决算数为</w:t>
      </w:r>
      <w:r>
        <w:rPr>
          <w:rFonts w:hint="eastAsia" w:ascii="宋体" w:hAnsi="宋体" w:eastAsia="宋体" w:cs="宋体"/>
          <w:kern w:val="0"/>
          <w:sz w:val="32"/>
          <w:szCs w:val="32"/>
          <w:u w:val="single"/>
        </w:rPr>
        <w:t xml:space="preserve"> 1,398.86</w:t>
      </w:r>
      <w:r>
        <w:rPr>
          <w:rFonts w:hint="eastAsia" w:ascii="宋体" w:hAnsi="宋体" w:eastAsia="宋体" w:cs="宋体"/>
          <w:kern w:val="0"/>
          <w:sz w:val="32"/>
          <w:szCs w:val="32"/>
        </w:rPr>
        <w:t>万元，与年初预算相比增加</w:t>
      </w:r>
      <w:r>
        <w:rPr>
          <w:rFonts w:hint="eastAsia" w:ascii="宋体" w:hAnsi="宋体" w:eastAsia="宋体" w:cs="宋体"/>
          <w:kern w:val="0"/>
          <w:sz w:val="32"/>
          <w:szCs w:val="32"/>
          <w:u w:val="single"/>
        </w:rPr>
        <w:t xml:space="preserve"> </w:t>
      </w:r>
      <w:r>
        <w:rPr>
          <w:rFonts w:hint="eastAsia" w:ascii="宋体" w:hAnsi="宋体" w:eastAsia="宋体" w:cs="宋体"/>
          <w:color w:val="000000" w:themeColor="text1"/>
          <w:kern w:val="0"/>
          <w:sz w:val="32"/>
          <w:szCs w:val="32"/>
          <w:u w:val="single"/>
          <w14:textFill>
            <w14:solidFill>
              <w14:schemeClr w14:val="tx1"/>
            </w14:solidFill>
          </w14:textFill>
        </w:rPr>
        <w:t>56.22</w:t>
      </w:r>
      <w:r>
        <w:rPr>
          <w:rFonts w:hint="eastAsia" w:ascii="宋体" w:hAnsi="宋体" w:eastAsia="宋体" w:cs="宋体"/>
          <w:color w:val="000000" w:themeColor="text1"/>
          <w:kern w:val="0"/>
          <w:sz w:val="32"/>
          <w:szCs w:val="32"/>
          <w14:textFill>
            <w14:solidFill>
              <w14:schemeClr w14:val="tx1"/>
            </w14:solidFill>
          </w14:textFill>
        </w:rPr>
        <w:t>万元。其中：</w:t>
      </w:r>
    </w:p>
    <w:p w14:paraId="0E83BB33">
      <w:pPr>
        <w:pStyle w:val="10"/>
        <w:pageBreakBefore w:val="0"/>
        <w:tabs>
          <w:tab w:val="left" w:pos="1389"/>
          <w:tab w:val="left" w:pos="4911"/>
          <w:tab w:val="left" w:pos="5898"/>
        </w:tabs>
        <w:kinsoku/>
        <w:wordWrap/>
        <w:overflowPunct/>
        <w:topLinePunct w:val="0"/>
        <w:autoSpaceDE/>
        <w:autoSpaceDN/>
        <w:bidi w:val="0"/>
        <w:spacing w:after="0" w:line="240" w:lineRule="auto"/>
        <w:ind w:left="0" w:leftChars="0" w:firstLine="640" w:firstLineChars="200"/>
        <w:textAlignment w:val="auto"/>
        <w:rPr>
          <w:rFonts w:hint="eastAsia" w:ascii="宋体" w:hAnsi="宋体" w:eastAsia="宋体" w:cs="宋体"/>
          <w:color w:val="000000" w:themeColor="text1"/>
          <w:kern w:val="0"/>
          <w:sz w:val="32"/>
          <w:szCs w:val="32"/>
          <w:lang w:val="en-US" w:eastAsia="zh-CN"/>
          <w14:textFill>
            <w14:solidFill>
              <w14:schemeClr w14:val="tx1"/>
            </w14:solidFill>
          </w14:textFill>
        </w:rPr>
      </w:pPr>
      <w:r>
        <w:rPr>
          <w:rFonts w:hint="eastAsia" w:ascii="宋体" w:hAnsi="宋体" w:eastAsia="宋体" w:cs="宋体"/>
          <w:color w:val="000000" w:themeColor="text1"/>
          <w:kern w:val="0"/>
          <w:sz w:val="32"/>
          <w:szCs w:val="32"/>
          <w14:textFill>
            <w14:solidFill>
              <w14:schemeClr w14:val="tx1"/>
            </w14:solidFill>
          </w14:textFill>
        </w:rPr>
        <w:t>1．</w:t>
      </w:r>
      <w:r>
        <w:rPr>
          <w:rFonts w:hint="eastAsia" w:ascii="宋体" w:hAnsi="宋体" w:eastAsia="宋体" w:cs="宋体"/>
          <w:color w:val="000000" w:themeColor="text1"/>
          <w:kern w:val="0"/>
          <w:sz w:val="32"/>
          <w:szCs w:val="32"/>
          <w:lang w:val="en-US" w:eastAsia="zh-CN"/>
          <w14:textFill>
            <w14:solidFill>
              <w14:schemeClr w14:val="tx1"/>
            </w14:solidFill>
          </w14:textFill>
        </w:rPr>
        <w:t>财政</w:t>
      </w:r>
      <w:r>
        <w:rPr>
          <w:rFonts w:hint="eastAsia" w:ascii="宋体" w:hAnsi="宋体" w:eastAsia="宋体" w:cs="宋体"/>
          <w:color w:val="000000" w:themeColor="text1"/>
          <w:kern w:val="0"/>
          <w:sz w:val="32"/>
          <w:szCs w:val="32"/>
          <w14:textFill>
            <w14:solidFill>
              <w14:schemeClr w14:val="tx1"/>
            </w14:solidFill>
          </w14:textFill>
        </w:rPr>
        <w:t>事务（</w:t>
      </w:r>
      <w:r>
        <w:rPr>
          <w:rFonts w:hint="eastAsia" w:ascii="宋体" w:hAnsi="宋体" w:eastAsia="宋体" w:cs="宋体"/>
          <w:color w:val="000000" w:themeColor="text1"/>
          <w:kern w:val="0"/>
          <w:sz w:val="32"/>
          <w:szCs w:val="32"/>
          <w:lang w:val="en-US" w:eastAsia="zh-CN"/>
          <w14:textFill>
            <w14:solidFill>
              <w14:schemeClr w14:val="tx1"/>
            </w14:solidFill>
          </w14:textFill>
        </w:rPr>
        <w:t>06</w:t>
      </w:r>
      <w:r>
        <w:rPr>
          <w:rFonts w:hint="eastAsia" w:ascii="宋体" w:hAnsi="宋体" w:eastAsia="宋体" w:cs="宋体"/>
          <w:color w:val="000000" w:themeColor="text1"/>
          <w:kern w:val="0"/>
          <w:sz w:val="32"/>
          <w:szCs w:val="32"/>
          <w14:textFill>
            <w14:solidFill>
              <w14:schemeClr w14:val="tx1"/>
            </w14:solidFill>
          </w14:textFill>
        </w:rPr>
        <w:t>）行政运行（</w:t>
      </w:r>
      <w:r>
        <w:rPr>
          <w:rFonts w:hint="eastAsia" w:ascii="宋体" w:hAnsi="宋体" w:eastAsia="宋体" w:cs="宋体"/>
          <w:color w:val="000000" w:themeColor="text1"/>
          <w:kern w:val="0"/>
          <w:sz w:val="32"/>
          <w:szCs w:val="32"/>
          <w:lang w:val="en-US" w:eastAsia="zh-CN"/>
          <w14:textFill>
            <w14:solidFill>
              <w14:schemeClr w14:val="tx1"/>
            </w14:solidFill>
          </w14:textFill>
        </w:rPr>
        <w:t>01</w:t>
      </w:r>
      <w:r>
        <w:rPr>
          <w:rFonts w:hint="eastAsia" w:ascii="宋体" w:hAnsi="宋体" w:eastAsia="宋体" w:cs="宋体"/>
          <w:color w:val="000000" w:themeColor="text1"/>
          <w:kern w:val="0"/>
          <w:sz w:val="32"/>
          <w:szCs w:val="32"/>
          <w14:textFill>
            <w14:solidFill>
              <w14:schemeClr w14:val="tx1"/>
            </w14:solidFill>
          </w14:textFill>
        </w:rPr>
        <w:t>）。年初预算</w:t>
      </w:r>
      <w:r>
        <w:rPr>
          <w:rFonts w:hint="eastAsia" w:ascii="宋体" w:hAnsi="宋体" w:eastAsia="宋体" w:cs="宋体"/>
          <w:color w:val="000000" w:themeColor="text1"/>
          <w:kern w:val="0"/>
          <w:sz w:val="32"/>
          <w:szCs w:val="32"/>
          <w:u w:val="single"/>
          <w14:textFill>
            <w14:solidFill>
              <w14:schemeClr w14:val="tx1"/>
            </w14:solidFill>
          </w14:textFill>
        </w:rPr>
        <w:t xml:space="preserve"> 1,398.86</w:t>
      </w:r>
      <w:r>
        <w:rPr>
          <w:rFonts w:hint="eastAsia" w:ascii="宋体" w:hAnsi="宋体" w:eastAsia="宋体" w:cs="宋体"/>
          <w:color w:val="000000" w:themeColor="text1"/>
          <w:kern w:val="0"/>
          <w:sz w:val="32"/>
          <w:szCs w:val="32"/>
          <w14:textFill>
            <w14:solidFill>
              <w14:schemeClr w14:val="tx1"/>
            </w14:solidFill>
          </w14:textFill>
        </w:rPr>
        <w:t>万元，支出决算</w:t>
      </w:r>
      <w:r>
        <w:rPr>
          <w:rFonts w:hint="eastAsia" w:ascii="宋体" w:hAnsi="宋体" w:eastAsia="宋体" w:cs="宋体"/>
          <w:color w:val="000000" w:themeColor="text1"/>
          <w:kern w:val="0"/>
          <w:sz w:val="32"/>
          <w:szCs w:val="32"/>
          <w:u w:val="single"/>
          <w14:textFill>
            <w14:solidFill>
              <w14:schemeClr w14:val="tx1"/>
            </w14:solidFill>
          </w14:textFill>
        </w:rPr>
        <w:t xml:space="preserve"> 1,398.86</w:t>
      </w:r>
      <w:r>
        <w:rPr>
          <w:rFonts w:hint="eastAsia" w:ascii="宋体" w:hAnsi="宋体" w:eastAsia="宋体" w:cs="宋体"/>
          <w:color w:val="000000" w:themeColor="text1"/>
          <w:kern w:val="0"/>
          <w:sz w:val="32"/>
          <w:szCs w:val="32"/>
          <w14:textFill>
            <w14:solidFill>
              <w14:schemeClr w14:val="tx1"/>
            </w14:solidFill>
          </w14:textFill>
        </w:rPr>
        <w:t>万元，完成年初预算的</w:t>
      </w:r>
      <w:r>
        <w:rPr>
          <w:rFonts w:hint="eastAsia" w:ascii="宋体" w:hAnsi="宋体" w:eastAsia="宋体" w:cs="宋体"/>
          <w:color w:val="000000" w:themeColor="text1"/>
          <w:kern w:val="0"/>
          <w:sz w:val="32"/>
          <w:szCs w:val="32"/>
          <w:lang w:val="en-US" w:eastAsia="zh-CN"/>
          <w14:textFill>
            <w14:solidFill>
              <w14:schemeClr w14:val="tx1"/>
            </w14:solidFill>
          </w14:textFill>
        </w:rPr>
        <w:t>1</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21.14</w:t>
      </w:r>
      <w:r>
        <w:rPr>
          <w:rFonts w:hint="eastAsia" w:ascii="宋体" w:hAnsi="宋体" w:eastAsia="宋体" w:cs="宋体"/>
          <w:color w:val="000000" w:themeColor="text1"/>
          <w:kern w:val="0"/>
          <w:sz w:val="32"/>
          <w:szCs w:val="32"/>
          <w14:textFill>
            <w14:solidFill>
              <w14:schemeClr w14:val="tx1"/>
            </w14:solidFill>
          </w14:textFill>
        </w:rPr>
        <w:t>%。决算数与年初预算数的差异原因：</w:t>
      </w:r>
      <w:r>
        <w:rPr>
          <w:rFonts w:hint="eastAsia" w:ascii="宋体" w:hAnsi="宋体" w:eastAsia="宋体" w:cs="宋体"/>
          <w:color w:val="000000" w:themeColor="text1"/>
          <w:sz w:val="32"/>
          <w:szCs w:val="32"/>
          <w:u w:val="none"/>
          <w:lang w:val="en-US" w:eastAsia="zh-CN"/>
          <w14:textFill>
            <w14:solidFill>
              <w14:schemeClr w14:val="tx1"/>
            </w14:solidFill>
          </w14:textFill>
        </w:rPr>
        <w:t>在职及退休人员工资福利费增长，增加造价评审项目支出及全旗项目绩效评价服务支出、非税票据系统运行维护费、政府采购云平台运行维护费、代理银行手续费等</w:t>
      </w:r>
      <w:r>
        <w:rPr>
          <w:rFonts w:hint="eastAsia" w:ascii="宋体" w:hAnsi="宋体" w:eastAsia="宋体" w:cs="宋体"/>
          <w:color w:val="000000" w:themeColor="text1"/>
          <w:sz w:val="32"/>
          <w:szCs w:val="32"/>
          <w:u w:val="none"/>
          <w14:textFill>
            <w14:solidFill>
              <w14:schemeClr w14:val="tx1"/>
            </w14:solidFill>
          </w14:textFill>
        </w:rPr>
        <w:t>。</w:t>
      </w:r>
    </w:p>
    <w:p w14:paraId="171FAB3F">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b/>
          <w:bCs/>
          <w:color w:val="000000" w:themeColor="text1"/>
          <w:kern w:val="0"/>
          <w:sz w:val="32"/>
          <w:szCs w:val="32"/>
          <w14:textFill>
            <w14:solidFill>
              <w14:schemeClr w14:val="tx1"/>
            </w14:solidFill>
          </w14:textFill>
        </w:rPr>
        <w:t>    （二）公共安全（类）</w:t>
      </w:r>
    </w:p>
    <w:p w14:paraId="2E377E7C">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color w:val="000000" w:themeColor="text1"/>
          <w:kern w:val="0"/>
          <w:sz w:val="32"/>
          <w:szCs w:val="32"/>
          <w14:textFill>
            <w14:solidFill>
              <w14:schemeClr w14:val="tx1"/>
            </w14:solidFill>
          </w14:textFill>
        </w:rPr>
        <w:t>公共安全类决算数为</w:t>
      </w:r>
      <w:r>
        <w:rPr>
          <w:rFonts w:hint="eastAsia" w:ascii="宋体" w:hAnsi="宋体" w:eastAsia="宋体" w:cs="宋体"/>
          <w:color w:val="000000" w:themeColor="text1"/>
          <w:kern w:val="0"/>
          <w:sz w:val="32"/>
          <w:szCs w:val="32"/>
          <w:u w:val="single"/>
          <w14:textFill>
            <w14:solidFill>
              <w14:schemeClr w14:val="tx1"/>
            </w14:solidFill>
          </w14:textFill>
        </w:rPr>
        <w:t xml:space="preserve"> 0.00</w:t>
      </w:r>
      <w:r>
        <w:rPr>
          <w:rFonts w:hint="eastAsia" w:ascii="宋体" w:hAnsi="宋体" w:eastAsia="宋体" w:cs="宋体"/>
          <w:color w:val="000000" w:themeColor="text1"/>
          <w:kern w:val="0"/>
          <w:sz w:val="32"/>
          <w:szCs w:val="32"/>
          <w14:textFill>
            <w14:solidFill>
              <w14:schemeClr w14:val="tx1"/>
            </w14:solidFill>
          </w14:textFill>
        </w:rPr>
        <w:t>万元，与年初预算相比增加（减少）</w:t>
      </w:r>
      <w:r>
        <w:rPr>
          <w:rFonts w:hint="eastAsia" w:ascii="宋体" w:hAnsi="宋体" w:eastAsia="宋体" w:cs="宋体"/>
          <w:color w:val="000000" w:themeColor="text1"/>
          <w:kern w:val="0"/>
          <w:sz w:val="32"/>
          <w:szCs w:val="32"/>
          <w:u w:val="single"/>
          <w14:textFill>
            <w14:solidFill>
              <w14:schemeClr w14:val="tx1"/>
            </w14:solidFill>
          </w14:textFill>
        </w:rPr>
        <w:t xml:space="preserve"> 0.00</w:t>
      </w:r>
      <w:r>
        <w:rPr>
          <w:rFonts w:hint="eastAsia" w:ascii="宋体" w:hAnsi="宋体" w:eastAsia="宋体" w:cs="宋体"/>
          <w:color w:val="000000" w:themeColor="text1"/>
          <w:kern w:val="0"/>
          <w:sz w:val="32"/>
          <w:szCs w:val="32"/>
          <w14:textFill>
            <w14:solidFill>
              <w14:schemeClr w14:val="tx1"/>
            </w14:solidFill>
          </w14:textFill>
        </w:rPr>
        <w:t>万元。其中：</w:t>
      </w:r>
    </w:p>
    <w:p w14:paraId="6E889680">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color w:val="000000" w:themeColor="text1"/>
          <w:kern w:val="0"/>
          <w:sz w:val="32"/>
          <w:szCs w:val="32"/>
          <w14:textFill>
            <w14:solidFill>
              <w14:schemeClr w14:val="tx1"/>
            </w14:solidFill>
          </w14:textFill>
        </w:rPr>
        <w:t>1．公安（款）行政运行（项）。年初预算</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0.00</w:t>
      </w:r>
      <w:r>
        <w:rPr>
          <w:rFonts w:hint="eastAsia" w:ascii="宋体" w:hAnsi="宋体" w:eastAsia="宋体" w:cs="宋体"/>
          <w:color w:val="000000" w:themeColor="text1"/>
          <w:kern w:val="0"/>
          <w:sz w:val="32"/>
          <w:szCs w:val="32"/>
          <w14:textFill>
            <w14:solidFill>
              <w14:schemeClr w14:val="tx1"/>
            </w14:solidFill>
          </w14:textFill>
        </w:rPr>
        <w:t>万元，支出决算</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0.00</w:t>
      </w:r>
      <w:r>
        <w:rPr>
          <w:rFonts w:hint="eastAsia" w:ascii="宋体" w:hAnsi="宋体" w:eastAsia="宋体" w:cs="宋体"/>
          <w:color w:val="000000" w:themeColor="text1"/>
          <w:kern w:val="0"/>
          <w:sz w:val="32"/>
          <w:szCs w:val="32"/>
          <w14:textFill>
            <w14:solidFill>
              <w14:schemeClr w14:val="tx1"/>
            </w14:solidFill>
          </w14:textFill>
        </w:rPr>
        <w:t>万元，完成年初预算的</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w:t>
      </w:r>
      <w:r>
        <w:rPr>
          <w:rFonts w:hint="eastAsia" w:ascii="宋体" w:hAnsi="宋体" w:eastAsia="宋体" w:cs="宋体"/>
          <w:color w:val="000000" w:themeColor="text1"/>
          <w:kern w:val="0"/>
          <w:sz w:val="32"/>
          <w:szCs w:val="32"/>
          <w14:textFill>
            <w14:solidFill>
              <w14:schemeClr w14:val="tx1"/>
            </w14:solidFill>
          </w14:textFill>
        </w:rPr>
        <w:t>%。决算数与年初预算数的差异原因：</w:t>
      </w:r>
      <w:r>
        <w:rPr>
          <w:rFonts w:hint="eastAsia" w:ascii="宋体" w:hAnsi="宋体" w:eastAsia="宋体" w:cs="宋体"/>
          <w:color w:val="000000" w:themeColor="text1"/>
          <w:kern w:val="0"/>
          <w:sz w:val="32"/>
          <w:szCs w:val="32"/>
          <w:lang w:val="en-US" w:eastAsia="zh-CN"/>
          <w14:textFill>
            <w14:solidFill>
              <w14:schemeClr w14:val="tx1"/>
            </w14:solidFill>
          </w14:textFill>
        </w:rPr>
        <w:t>无</w:t>
      </w:r>
      <w:r>
        <w:rPr>
          <w:rFonts w:hint="eastAsia" w:ascii="宋体" w:hAnsi="宋体" w:eastAsia="宋体" w:cs="宋体"/>
          <w:color w:val="000000" w:themeColor="text1"/>
          <w:kern w:val="0"/>
          <w:sz w:val="32"/>
          <w:szCs w:val="32"/>
          <w14:textFill>
            <w14:solidFill>
              <w14:schemeClr w14:val="tx1"/>
            </w14:solidFill>
          </w14:textFill>
        </w:rPr>
        <w:t>。</w:t>
      </w:r>
    </w:p>
    <w:p w14:paraId="2A87CD2E">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b/>
          <w:bCs/>
          <w:kern w:val="0"/>
          <w:sz w:val="32"/>
          <w:szCs w:val="32"/>
        </w:rPr>
        <w:t xml:space="preserve">  </w:t>
      </w:r>
      <w:r>
        <w:rPr>
          <w:rFonts w:hint="eastAsia" w:ascii="宋体" w:hAnsi="宋体" w:eastAsia="宋体" w:cs="宋体"/>
          <w:b/>
          <w:bCs/>
          <w:color w:val="000000" w:themeColor="text1"/>
          <w:kern w:val="0"/>
          <w:sz w:val="32"/>
          <w:szCs w:val="32"/>
          <w14:textFill>
            <w14:solidFill>
              <w14:schemeClr w14:val="tx1"/>
            </w14:solidFill>
          </w14:textFill>
        </w:rPr>
        <w:t>  （三）社会保障和就业支出（</w:t>
      </w:r>
      <w:r>
        <w:rPr>
          <w:rFonts w:hint="eastAsia" w:ascii="宋体" w:hAnsi="宋体" w:eastAsia="宋体" w:cs="宋体"/>
          <w:b/>
          <w:bCs/>
          <w:color w:val="000000" w:themeColor="text1"/>
          <w:kern w:val="0"/>
          <w:sz w:val="32"/>
          <w:szCs w:val="32"/>
          <w:lang w:val="en-US" w:eastAsia="zh-CN"/>
          <w14:textFill>
            <w14:solidFill>
              <w14:schemeClr w14:val="tx1"/>
            </w14:solidFill>
          </w14:textFill>
        </w:rPr>
        <w:t>208</w:t>
      </w:r>
      <w:r>
        <w:rPr>
          <w:rFonts w:hint="eastAsia" w:ascii="宋体" w:hAnsi="宋体" w:eastAsia="宋体" w:cs="宋体"/>
          <w:b/>
          <w:bCs/>
          <w:color w:val="000000" w:themeColor="text1"/>
          <w:kern w:val="0"/>
          <w:sz w:val="32"/>
          <w:szCs w:val="32"/>
          <w14:textFill>
            <w14:solidFill>
              <w14:schemeClr w14:val="tx1"/>
            </w14:solidFill>
          </w14:textFill>
        </w:rPr>
        <w:t>）</w:t>
      </w:r>
    </w:p>
    <w:p w14:paraId="4AA9BB01">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color w:val="000000" w:themeColor="text1"/>
          <w:kern w:val="0"/>
          <w:sz w:val="32"/>
          <w:szCs w:val="32"/>
          <w14:textFill>
            <w14:solidFill>
              <w14:schemeClr w14:val="tx1"/>
            </w14:solidFill>
          </w14:textFill>
        </w:rPr>
        <w:t>社会保障和就业支出类决算数为</w:t>
      </w:r>
      <w:r>
        <w:rPr>
          <w:rFonts w:hint="eastAsia" w:ascii="宋体" w:hAnsi="宋体" w:eastAsia="宋体" w:cs="宋体"/>
          <w:color w:val="000000" w:themeColor="text1"/>
          <w:kern w:val="0"/>
          <w:sz w:val="32"/>
          <w:szCs w:val="32"/>
          <w:u w:val="single"/>
          <w14:textFill>
            <w14:solidFill>
              <w14:schemeClr w14:val="tx1"/>
            </w14:solidFill>
          </w14:textFill>
        </w:rPr>
        <w:t xml:space="preserve"> 82.81</w:t>
      </w:r>
      <w:r>
        <w:rPr>
          <w:rFonts w:hint="eastAsia" w:ascii="宋体" w:hAnsi="宋体" w:eastAsia="宋体" w:cs="宋体"/>
          <w:color w:val="000000" w:themeColor="text1"/>
          <w:kern w:val="0"/>
          <w:sz w:val="32"/>
          <w:szCs w:val="32"/>
          <w14:textFill>
            <w14:solidFill>
              <w14:schemeClr w14:val="tx1"/>
            </w14:solidFill>
          </w14:textFill>
        </w:rPr>
        <w:t>万元，与年初预算相比增加</w:t>
      </w:r>
      <w:r>
        <w:rPr>
          <w:rFonts w:hint="eastAsia" w:ascii="宋体" w:hAnsi="宋体" w:eastAsia="宋体" w:cs="宋体"/>
          <w:color w:val="000000" w:themeColor="text1"/>
          <w:kern w:val="0"/>
          <w:sz w:val="32"/>
          <w:szCs w:val="32"/>
          <w:u w:val="single"/>
          <w14:textFill>
            <w14:solidFill>
              <w14:schemeClr w14:val="tx1"/>
            </w14:solidFill>
          </w14:textFill>
        </w:rPr>
        <w:t xml:space="preserve"> 4.81</w:t>
      </w:r>
      <w:r>
        <w:rPr>
          <w:rFonts w:hint="eastAsia" w:ascii="宋体" w:hAnsi="宋体" w:eastAsia="宋体" w:cs="宋体"/>
          <w:color w:val="000000" w:themeColor="text1"/>
          <w:kern w:val="0"/>
          <w:sz w:val="32"/>
          <w:szCs w:val="32"/>
          <w14:textFill>
            <w14:solidFill>
              <w14:schemeClr w14:val="tx1"/>
            </w14:solidFill>
          </w14:textFill>
        </w:rPr>
        <w:t>万元。其中：</w:t>
      </w:r>
    </w:p>
    <w:p w14:paraId="168267FE">
      <w:pPr>
        <w:keepNext w:val="0"/>
        <w:keepLines w:val="0"/>
        <w:pageBreakBefore w:val="0"/>
        <w:widowControl/>
        <w:numPr>
          <w:ilvl w:val="0"/>
          <w:numId w:val="2"/>
        </w:numPr>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color w:val="000000" w:themeColor="text1"/>
          <w:kern w:val="0"/>
          <w:sz w:val="32"/>
          <w:szCs w:val="32"/>
          <w14:textFill>
            <w14:solidFill>
              <w14:schemeClr w14:val="tx1"/>
            </w14:solidFill>
          </w14:textFill>
        </w:rPr>
        <w:t>行政事业单位养老支出（</w:t>
      </w:r>
      <w:r>
        <w:rPr>
          <w:rFonts w:hint="eastAsia" w:ascii="宋体" w:hAnsi="宋体" w:eastAsia="宋体" w:cs="宋体"/>
          <w:color w:val="000000" w:themeColor="text1"/>
          <w:kern w:val="0"/>
          <w:sz w:val="32"/>
          <w:szCs w:val="32"/>
          <w:lang w:val="en-US" w:eastAsia="zh-CN"/>
          <w14:textFill>
            <w14:solidFill>
              <w14:schemeClr w14:val="tx1"/>
            </w14:solidFill>
          </w14:textFill>
        </w:rPr>
        <w:t>05</w:t>
      </w:r>
      <w:r>
        <w:rPr>
          <w:rFonts w:hint="eastAsia" w:ascii="宋体" w:hAnsi="宋体" w:eastAsia="宋体" w:cs="宋体"/>
          <w:color w:val="000000" w:themeColor="text1"/>
          <w:kern w:val="0"/>
          <w:sz w:val="32"/>
          <w:szCs w:val="32"/>
          <w14:textFill>
            <w14:solidFill>
              <w14:schemeClr w14:val="tx1"/>
            </w14:solidFill>
          </w14:textFill>
        </w:rPr>
        <w:t>）行政单位离退休（</w:t>
      </w:r>
      <w:r>
        <w:rPr>
          <w:rFonts w:hint="eastAsia" w:ascii="宋体" w:hAnsi="宋体" w:eastAsia="宋体" w:cs="宋体"/>
          <w:color w:val="000000" w:themeColor="text1"/>
          <w:kern w:val="0"/>
          <w:sz w:val="32"/>
          <w:szCs w:val="32"/>
          <w:lang w:val="en-US" w:eastAsia="zh-CN"/>
          <w14:textFill>
            <w14:solidFill>
              <w14:schemeClr w14:val="tx1"/>
            </w14:solidFill>
          </w14:textFill>
        </w:rPr>
        <w:t>01</w:t>
      </w:r>
      <w:r>
        <w:rPr>
          <w:rFonts w:hint="eastAsia" w:ascii="宋体" w:hAnsi="宋体" w:eastAsia="宋体" w:cs="宋体"/>
          <w:color w:val="000000" w:themeColor="text1"/>
          <w:kern w:val="0"/>
          <w:sz w:val="32"/>
          <w:szCs w:val="32"/>
          <w14:textFill>
            <w14:solidFill>
              <w14:schemeClr w14:val="tx1"/>
            </w14:solidFill>
          </w14:textFill>
        </w:rPr>
        <w:t>）。年初预算</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32.77</w:t>
      </w:r>
      <w:r>
        <w:rPr>
          <w:rFonts w:hint="eastAsia" w:ascii="宋体" w:hAnsi="宋体" w:eastAsia="宋体" w:cs="宋体"/>
          <w:color w:val="000000" w:themeColor="text1"/>
          <w:kern w:val="0"/>
          <w:sz w:val="32"/>
          <w:szCs w:val="32"/>
          <w14:textFill>
            <w14:solidFill>
              <w14:schemeClr w14:val="tx1"/>
            </w14:solidFill>
          </w14:textFill>
        </w:rPr>
        <w:t>万元，支出决算</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32.51</w:t>
      </w:r>
      <w:r>
        <w:rPr>
          <w:rFonts w:hint="eastAsia" w:ascii="宋体" w:hAnsi="宋体" w:eastAsia="宋体" w:cs="宋体"/>
          <w:color w:val="000000" w:themeColor="text1"/>
          <w:kern w:val="0"/>
          <w:sz w:val="32"/>
          <w:szCs w:val="32"/>
          <w14:textFill>
            <w14:solidFill>
              <w14:schemeClr w14:val="tx1"/>
            </w14:solidFill>
          </w14:textFill>
        </w:rPr>
        <w:t>万元，完成年初预算的</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99.21</w:t>
      </w:r>
      <w:r>
        <w:rPr>
          <w:rFonts w:hint="eastAsia" w:ascii="宋体" w:hAnsi="宋体" w:eastAsia="宋体" w:cs="宋体"/>
          <w:color w:val="000000" w:themeColor="text1"/>
          <w:kern w:val="0"/>
          <w:sz w:val="32"/>
          <w:szCs w:val="32"/>
          <w14:textFill>
            <w14:solidFill>
              <w14:schemeClr w14:val="tx1"/>
            </w14:solidFill>
          </w14:textFill>
        </w:rPr>
        <w:t>%。决算数与年初预算数的差异原因：</w:t>
      </w:r>
      <w:r>
        <w:rPr>
          <w:rFonts w:hint="eastAsia" w:ascii="宋体" w:hAnsi="宋体" w:eastAsia="宋体" w:cs="宋体"/>
          <w:color w:val="000000" w:themeColor="text1"/>
          <w:sz w:val="32"/>
          <w:szCs w:val="32"/>
          <w:lang w:val="en-US" w:eastAsia="zh-CN"/>
          <w14:textFill>
            <w14:solidFill>
              <w14:schemeClr w14:val="tx1"/>
            </w14:solidFill>
          </w14:textFill>
        </w:rPr>
        <w:t>退休人员离世终止</w:t>
      </w:r>
      <w:r>
        <w:rPr>
          <w:rFonts w:hint="eastAsia" w:ascii="宋体" w:hAnsi="宋体" w:eastAsia="宋体" w:cs="宋体"/>
          <w:color w:val="000000" w:themeColor="text1"/>
          <w:kern w:val="0"/>
          <w:sz w:val="32"/>
          <w:szCs w:val="32"/>
          <w14:textFill>
            <w14:solidFill>
              <w14:schemeClr w14:val="tx1"/>
            </w14:solidFill>
          </w14:textFill>
        </w:rPr>
        <w:t>。</w:t>
      </w:r>
    </w:p>
    <w:p w14:paraId="5CBD534F">
      <w:pPr>
        <w:pStyle w:val="2"/>
        <w:pageBreakBefore w:val="0"/>
        <w:numPr>
          <w:ilvl w:val="0"/>
          <w:numId w:val="0"/>
        </w:numPr>
        <w:kinsoku/>
        <w:wordWrap/>
        <w:overflowPunct/>
        <w:topLinePunct w:val="0"/>
        <w:autoSpaceDE/>
        <w:autoSpaceDN/>
        <w:bidi w:val="0"/>
        <w:spacing w:after="0" w:line="240" w:lineRule="auto"/>
        <w:ind w:left="0" w:leftChars="0" w:firstLine="64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sz w:val="32"/>
          <w:szCs w:val="32"/>
          <w:lang w:val="en-US" w:eastAsia="zh-CN"/>
          <w14:textFill>
            <w14:solidFill>
              <w14:schemeClr w14:val="tx1"/>
            </w14:solidFill>
          </w14:textFill>
        </w:rPr>
        <w:t>2</w:t>
      </w:r>
      <w:r>
        <w:rPr>
          <w:rFonts w:hint="eastAsia" w:ascii="宋体" w:hAnsi="宋体" w:eastAsia="宋体" w:cs="宋体"/>
          <w:color w:val="000000" w:themeColor="text1"/>
          <w:kern w:val="0"/>
          <w:sz w:val="32"/>
          <w:szCs w:val="32"/>
          <w14:textFill>
            <w14:solidFill>
              <w14:schemeClr w14:val="tx1"/>
            </w14:solidFill>
          </w14:textFill>
        </w:rPr>
        <w:t>．行政事业单位养老支出（款）事业单位离退休（项）。年初预算</w:t>
      </w:r>
      <w:r>
        <w:rPr>
          <w:rFonts w:hint="eastAsia" w:ascii="宋体" w:hAnsi="宋体" w:eastAsia="宋体" w:cs="宋体"/>
          <w:color w:val="000000" w:themeColor="text1"/>
          <w:kern w:val="0"/>
          <w:sz w:val="32"/>
          <w:szCs w:val="32"/>
          <w:lang w:val="en-US" w:eastAsia="zh-CN"/>
          <w14:textFill>
            <w14:solidFill>
              <w14:schemeClr w14:val="tx1"/>
            </w14:solidFill>
          </w14:textFill>
        </w:rPr>
        <w:t>0.00</w:t>
      </w:r>
      <w:r>
        <w:rPr>
          <w:rFonts w:hint="eastAsia" w:ascii="宋体" w:hAnsi="宋体" w:eastAsia="宋体" w:cs="宋体"/>
          <w:color w:val="000000" w:themeColor="text1"/>
          <w:kern w:val="0"/>
          <w:sz w:val="32"/>
          <w:szCs w:val="32"/>
          <w14:textFill>
            <w14:solidFill>
              <w14:schemeClr w14:val="tx1"/>
            </w14:solidFill>
          </w14:textFill>
        </w:rPr>
        <w:t>万元，支出决算</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0.00</w:t>
      </w:r>
      <w:r>
        <w:rPr>
          <w:rFonts w:hint="eastAsia" w:ascii="宋体" w:hAnsi="宋体" w:eastAsia="宋体" w:cs="宋体"/>
          <w:color w:val="000000" w:themeColor="text1"/>
          <w:kern w:val="0"/>
          <w:sz w:val="32"/>
          <w:szCs w:val="32"/>
          <w14:textFill>
            <w14:solidFill>
              <w14:schemeClr w14:val="tx1"/>
            </w14:solidFill>
          </w14:textFill>
        </w:rPr>
        <w:t>万元，完成年初预算的</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0.00</w:t>
      </w:r>
      <w:r>
        <w:rPr>
          <w:rFonts w:hint="eastAsia" w:ascii="宋体" w:hAnsi="宋体" w:eastAsia="宋体" w:cs="宋体"/>
          <w:color w:val="000000" w:themeColor="text1"/>
          <w:kern w:val="0"/>
          <w:sz w:val="32"/>
          <w:szCs w:val="32"/>
          <w14:textFill>
            <w14:solidFill>
              <w14:schemeClr w14:val="tx1"/>
            </w14:solidFill>
          </w14:textFill>
        </w:rPr>
        <w:t>%。决算数与年初预算数的差异原因：</w:t>
      </w:r>
      <w:r>
        <w:rPr>
          <w:rFonts w:hint="eastAsia" w:ascii="宋体" w:hAnsi="宋体" w:eastAsia="宋体" w:cs="宋体"/>
          <w:color w:val="000000" w:themeColor="text1"/>
          <w:kern w:val="0"/>
          <w:sz w:val="32"/>
          <w:szCs w:val="32"/>
          <w:lang w:val="en-US" w:eastAsia="zh-CN"/>
          <w14:textFill>
            <w14:solidFill>
              <w14:schemeClr w14:val="tx1"/>
            </w14:solidFill>
          </w14:textFill>
        </w:rPr>
        <w:t>无</w:t>
      </w:r>
      <w:r>
        <w:rPr>
          <w:rFonts w:hint="eastAsia" w:ascii="宋体" w:hAnsi="宋体" w:eastAsia="宋体" w:cs="宋体"/>
          <w:color w:val="000000" w:themeColor="text1"/>
          <w:kern w:val="0"/>
          <w:sz w:val="32"/>
          <w:szCs w:val="32"/>
          <w14:textFill>
            <w14:solidFill>
              <w14:schemeClr w14:val="tx1"/>
            </w14:solidFill>
          </w14:textFill>
        </w:rPr>
        <w:t>。</w:t>
      </w:r>
    </w:p>
    <w:p w14:paraId="320D8ECD">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color w:val="000000" w:themeColor="text1"/>
          <w:kern w:val="0"/>
          <w:sz w:val="32"/>
          <w:szCs w:val="32"/>
          <w:lang w:val="en-US" w:eastAsia="zh-CN"/>
          <w14:textFill>
            <w14:solidFill>
              <w14:schemeClr w14:val="tx1"/>
            </w14:solidFill>
          </w14:textFill>
        </w:rPr>
        <w:t>3</w:t>
      </w:r>
      <w:r>
        <w:rPr>
          <w:rFonts w:hint="eastAsia" w:ascii="宋体" w:hAnsi="宋体" w:eastAsia="宋体" w:cs="宋体"/>
          <w:color w:val="000000" w:themeColor="text1"/>
          <w:kern w:val="0"/>
          <w:sz w:val="32"/>
          <w:szCs w:val="32"/>
          <w14:textFill>
            <w14:solidFill>
              <w14:schemeClr w14:val="tx1"/>
            </w14:solidFill>
          </w14:textFill>
        </w:rPr>
        <w:t>．行政事业单位养老支出（</w:t>
      </w:r>
      <w:r>
        <w:rPr>
          <w:rFonts w:hint="eastAsia" w:ascii="宋体" w:hAnsi="宋体" w:eastAsia="宋体" w:cs="宋体"/>
          <w:color w:val="000000" w:themeColor="text1"/>
          <w:kern w:val="0"/>
          <w:sz w:val="32"/>
          <w:szCs w:val="32"/>
          <w:lang w:val="en-US" w:eastAsia="zh-CN"/>
          <w14:textFill>
            <w14:solidFill>
              <w14:schemeClr w14:val="tx1"/>
            </w14:solidFill>
          </w14:textFill>
        </w:rPr>
        <w:t>05</w:t>
      </w:r>
      <w:r>
        <w:rPr>
          <w:rFonts w:hint="eastAsia" w:ascii="宋体" w:hAnsi="宋体" w:eastAsia="宋体" w:cs="宋体"/>
          <w:color w:val="000000" w:themeColor="text1"/>
          <w:kern w:val="0"/>
          <w:sz w:val="32"/>
          <w:szCs w:val="32"/>
          <w14:textFill>
            <w14:solidFill>
              <w14:schemeClr w14:val="tx1"/>
            </w14:solidFill>
          </w14:textFill>
        </w:rPr>
        <w:t>）机关事业单位基本养老保险缴费支出（</w:t>
      </w:r>
      <w:r>
        <w:rPr>
          <w:rFonts w:hint="eastAsia" w:ascii="宋体" w:hAnsi="宋体" w:eastAsia="宋体" w:cs="宋体"/>
          <w:color w:val="000000" w:themeColor="text1"/>
          <w:kern w:val="0"/>
          <w:sz w:val="32"/>
          <w:szCs w:val="32"/>
          <w:lang w:val="en-US" w:eastAsia="zh-CN"/>
          <w14:textFill>
            <w14:solidFill>
              <w14:schemeClr w14:val="tx1"/>
            </w14:solidFill>
          </w14:textFill>
        </w:rPr>
        <w:t>05</w:t>
      </w:r>
      <w:r>
        <w:rPr>
          <w:rFonts w:hint="eastAsia" w:ascii="宋体" w:hAnsi="宋体" w:eastAsia="宋体" w:cs="宋体"/>
          <w:color w:val="000000" w:themeColor="text1"/>
          <w:kern w:val="0"/>
          <w:sz w:val="32"/>
          <w:szCs w:val="32"/>
          <w14:textFill>
            <w14:solidFill>
              <w14:schemeClr w14:val="tx1"/>
            </w14:solidFill>
          </w14:textFill>
        </w:rPr>
        <w:t>）。年初预算</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45.23</w:t>
      </w:r>
      <w:r>
        <w:rPr>
          <w:rFonts w:hint="eastAsia" w:ascii="宋体" w:hAnsi="宋体" w:eastAsia="宋体" w:cs="宋体"/>
          <w:color w:val="000000" w:themeColor="text1"/>
          <w:kern w:val="0"/>
          <w:sz w:val="32"/>
          <w:szCs w:val="32"/>
          <w14:textFill>
            <w14:solidFill>
              <w14:schemeClr w14:val="tx1"/>
            </w14:solidFill>
          </w14:textFill>
        </w:rPr>
        <w:t>万元，支出决算</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50.30</w:t>
      </w:r>
      <w:r>
        <w:rPr>
          <w:rFonts w:hint="eastAsia" w:ascii="宋体" w:hAnsi="宋体" w:eastAsia="宋体" w:cs="宋体"/>
          <w:color w:val="000000" w:themeColor="text1"/>
          <w:kern w:val="0"/>
          <w:sz w:val="32"/>
          <w:szCs w:val="32"/>
          <w14:textFill>
            <w14:solidFill>
              <w14:schemeClr w14:val="tx1"/>
            </w14:solidFill>
          </w14:textFill>
        </w:rPr>
        <w:t>万元，完成年初预算的</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111.21</w:t>
      </w:r>
      <w:r>
        <w:rPr>
          <w:rFonts w:hint="eastAsia" w:ascii="宋体" w:hAnsi="宋体" w:eastAsia="宋体" w:cs="宋体"/>
          <w:color w:val="000000" w:themeColor="text1"/>
          <w:kern w:val="0"/>
          <w:sz w:val="32"/>
          <w:szCs w:val="32"/>
          <w14:textFill>
            <w14:solidFill>
              <w14:schemeClr w14:val="tx1"/>
            </w14:solidFill>
          </w14:textFill>
        </w:rPr>
        <w:t>%。决算数与年初预算数的差异原因：</w:t>
      </w:r>
      <w:r>
        <w:rPr>
          <w:rFonts w:hint="eastAsia" w:ascii="宋体" w:hAnsi="宋体" w:eastAsia="宋体" w:cs="宋体"/>
          <w:color w:val="000000" w:themeColor="text1"/>
          <w:sz w:val="32"/>
          <w:szCs w:val="32"/>
          <w:lang w:val="en-US" w:eastAsia="zh-CN"/>
          <w14:textFill>
            <w14:solidFill>
              <w14:schemeClr w14:val="tx1"/>
            </w14:solidFill>
          </w14:textFill>
        </w:rPr>
        <w:t>在职人员养老保险缴费支出增加</w:t>
      </w:r>
      <w:r>
        <w:rPr>
          <w:rFonts w:hint="eastAsia" w:ascii="宋体" w:hAnsi="宋体" w:eastAsia="宋体" w:cs="宋体"/>
          <w:color w:val="000000" w:themeColor="text1"/>
          <w:kern w:val="0"/>
          <w:sz w:val="32"/>
          <w:szCs w:val="32"/>
          <w14:textFill>
            <w14:solidFill>
              <w14:schemeClr w14:val="tx1"/>
            </w14:solidFill>
          </w14:textFill>
        </w:rPr>
        <w:t>。</w:t>
      </w:r>
    </w:p>
    <w:p w14:paraId="697FBC91">
      <w:pPr>
        <w:pageBreakBefore w:val="0"/>
        <w:widowControl/>
        <w:kinsoku/>
        <w:wordWrap/>
        <w:overflowPunct/>
        <w:topLinePunct w:val="0"/>
        <w:autoSpaceDE/>
        <w:autoSpaceDN/>
        <w:bidi w:val="0"/>
        <w:spacing w:line="240" w:lineRule="auto"/>
        <w:ind w:left="0" w:leftChars="0" w:firstLine="640" w:firstLineChars="200"/>
        <w:jc w:val="left"/>
        <w:textAlignment w:val="auto"/>
        <w:rPr>
          <w:rFonts w:hint="eastAsia" w:ascii="宋体" w:hAnsi="宋体" w:eastAsia="宋体" w:cs="宋体"/>
        </w:rPr>
      </w:pPr>
      <w:r>
        <w:rPr>
          <w:rFonts w:hint="eastAsia" w:ascii="宋体" w:hAnsi="宋体" w:eastAsia="宋体" w:cs="宋体"/>
          <w:kern w:val="0"/>
          <w:sz w:val="32"/>
          <w:szCs w:val="32"/>
        </w:rPr>
        <w:t>4．行政事业单位养老支出（款）机关事业单位职业年金缴费支出（项）。年初预算</w:t>
      </w:r>
      <w:r>
        <w:rPr>
          <w:rFonts w:hint="eastAsia" w:ascii="宋体" w:hAnsi="宋体" w:eastAsia="宋体" w:cs="宋体"/>
          <w:kern w:val="0"/>
          <w:sz w:val="32"/>
          <w:szCs w:val="32"/>
          <w:u w:val="single"/>
          <w:lang w:val="en-US" w:eastAsia="zh-CN"/>
        </w:rPr>
        <w:t>0.00</w:t>
      </w:r>
      <w:r>
        <w:rPr>
          <w:rFonts w:hint="eastAsia" w:ascii="宋体" w:hAnsi="宋体" w:eastAsia="宋体" w:cs="宋体"/>
          <w:kern w:val="0"/>
          <w:sz w:val="32"/>
          <w:szCs w:val="32"/>
        </w:rPr>
        <w:t>万元，支出决算</w:t>
      </w:r>
      <w:r>
        <w:rPr>
          <w:rFonts w:hint="eastAsia" w:ascii="宋体" w:hAnsi="宋体" w:eastAsia="宋体" w:cs="宋体"/>
          <w:kern w:val="0"/>
          <w:sz w:val="32"/>
          <w:szCs w:val="32"/>
          <w:u w:val="single"/>
          <w:lang w:val="en-US" w:eastAsia="zh-CN"/>
        </w:rPr>
        <w:t>0.00</w:t>
      </w:r>
      <w:r>
        <w:rPr>
          <w:rFonts w:hint="eastAsia" w:ascii="宋体" w:hAnsi="宋体" w:eastAsia="宋体" w:cs="宋体"/>
          <w:kern w:val="0"/>
          <w:sz w:val="32"/>
          <w:szCs w:val="32"/>
        </w:rPr>
        <w:t>万元，完成年初预算的</w:t>
      </w:r>
      <w:r>
        <w:rPr>
          <w:rFonts w:hint="eastAsia" w:ascii="宋体" w:hAnsi="宋体" w:eastAsia="宋体" w:cs="宋体"/>
          <w:kern w:val="0"/>
          <w:sz w:val="32"/>
          <w:szCs w:val="32"/>
          <w:u w:val="single"/>
          <w:lang w:val="en-US" w:eastAsia="zh-CN"/>
        </w:rPr>
        <w:t>0.00</w:t>
      </w:r>
      <w:r>
        <w:rPr>
          <w:rFonts w:hint="eastAsia" w:ascii="宋体" w:hAnsi="宋体" w:eastAsia="宋体" w:cs="宋体"/>
          <w:kern w:val="0"/>
          <w:sz w:val="32"/>
          <w:szCs w:val="32"/>
        </w:rPr>
        <w:t>%。决算数与年初预算数的差异原因：</w:t>
      </w:r>
      <w:r>
        <w:rPr>
          <w:rFonts w:hint="eastAsia" w:ascii="宋体" w:hAnsi="宋体" w:eastAsia="宋体" w:cs="宋体"/>
          <w:color w:val="FF0000"/>
          <w:kern w:val="0"/>
          <w:sz w:val="32"/>
          <w:szCs w:val="32"/>
          <w:lang w:val="en-US" w:eastAsia="zh-CN"/>
        </w:rPr>
        <w:t>无</w:t>
      </w:r>
      <w:r>
        <w:rPr>
          <w:rFonts w:hint="eastAsia" w:ascii="宋体" w:hAnsi="宋体" w:eastAsia="宋体" w:cs="宋体"/>
          <w:kern w:val="0"/>
          <w:sz w:val="32"/>
          <w:szCs w:val="32"/>
        </w:rPr>
        <w:t>。</w:t>
      </w:r>
    </w:p>
    <w:p w14:paraId="3F782D6D">
      <w:pPr>
        <w:pageBreakBefore w:val="0"/>
        <w:widowControl/>
        <w:kinsoku/>
        <w:wordWrap/>
        <w:overflowPunct/>
        <w:topLinePunct w:val="0"/>
        <w:autoSpaceDE/>
        <w:autoSpaceDN/>
        <w:bidi w:val="0"/>
        <w:spacing w:line="240" w:lineRule="auto"/>
        <w:ind w:left="0" w:leftChars="0" w:firstLine="960"/>
        <w:jc w:val="left"/>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b/>
          <w:bCs/>
          <w:color w:val="000000" w:themeColor="text1"/>
          <w:kern w:val="0"/>
          <w:sz w:val="32"/>
          <w:szCs w:val="32"/>
          <w14:textFill>
            <w14:solidFill>
              <w14:schemeClr w14:val="tx1"/>
            </w14:solidFill>
          </w14:textFill>
        </w:rPr>
        <w:t>（四）卫生健康支出（</w:t>
      </w:r>
      <w:r>
        <w:rPr>
          <w:rFonts w:hint="eastAsia" w:ascii="宋体" w:hAnsi="宋体" w:eastAsia="宋体" w:cs="宋体"/>
          <w:b/>
          <w:bCs/>
          <w:color w:val="000000" w:themeColor="text1"/>
          <w:kern w:val="0"/>
          <w:sz w:val="32"/>
          <w:szCs w:val="32"/>
          <w:lang w:val="en-US" w:eastAsia="zh-CN"/>
          <w14:textFill>
            <w14:solidFill>
              <w14:schemeClr w14:val="tx1"/>
            </w14:solidFill>
          </w14:textFill>
        </w:rPr>
        <w:t>210</w:t>
      </w:r>
      <w:r>
        <w:rPr>
          <w:rFonts w:hint="eastAsia" w:ascii="宋体" w:hAnsi="宋体" w:eastAsia="宋体" w:cs="宋体"/>
          <w:b/>
          <w:bCs/>
          <w:color w:val="000000" w:themeColor="text1"/>
          <w:kern w:val="0"/>
          <w:sz w:val="32"/>
          <w:szCs w:val="32"/>
          <w14:textFill>
            <w14:solidFill>
              <w14:schemeClr w14:val="tx1"/>
            </w14:solidFill>
          </w14:textFill>
        </w:rPr>
        <w:t>）</w:t>
      </w:r>
    </w:p>
    <w:p w14:paraId="4CAABEB7">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color w:val="000000" w:themeColor="text1"/>
          <w:kern w:val="0"/>
          <w:sz w:val="32"/>
          <w:szCs w:val="32"/>
          <w14:textFill>
            <w14:solidFill>
              <w14:schemeClr w14:val="tx1"/>
            </w14:solidFill>
          </w14:textFill>
        </w:rPr>
        <w:t>卫生健康支出类决算数为 26.35万元，与年初预算相比减少 -2.26万元。其中：</w:t>
      </w:r>
    </w:p>
    <w:p w14:paraId="5F788304">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color w:val="000000" w:themeColor="text1"/>
          <w:kern w:val="0"/>
          <w:sz w:val="32"/>
          <w:szCs w:val="32"/>
          <w14:textFill>
            <w14:solidFill>
              <w14:schemeClr w14:val="tx1"/>
            </w14:solidFill>
          </w14:textFill>
        </w:rPr>
        <w:t>行政事业单位医疗（</w:t>
      </w:r>
      <w:r>
        <w:rPr>
          <w:rFonts w:hint="eastAsia" w:ascii="宋体" w:hAnsi="宋体" w:eastAsia="宋体" w:cs="宋体"/>
          <w:color w:val="000000" w:themeColor="text1"/>
          <w:kern w:val="0"/>
          <w:sz w:val="32"/>
          <w:szCs w:val="32"/>
          <w:lang w:val="en-US" w:eastAsia="zh-CN"/>
          <w14:textFill>
            <w14:solidFill>
              <w14:schemeClr w14:val="tx1"/>
            </w14:solidFill>
          </w14:textFill>
        </w:rPr>
        <w:t>01</w:t>
      </w:r>
      <w:r>
        <w:rPr>
          <w:rFonts w:hint="eastAsia" w:ascii="宋体" w:hAnsi="宋体" w:eastAsia="宋体" w:cs="宋体"/>
          <w:color w:val="000000" w:themeColor="text1"/>
          <w:kern w:val="0"/>
          <w:sz w:val="32"/>
          <w:szCs w:val="32"/>
          <w14:textFill>
            <w14:solidFill>
              <w14:schemeClr w14:val="tx1"/>
            </w14:solidFill>
          </w14:textFill>
        </w:rPr>
        <w:t>）行政单位医疗（</w:t>
      </w:r>
      <w:r>
        <w:rPr>
          <w:rFonts w:hint="eastAsia" w:ascii="宋体" w:hAnsi="宋体" w:eastAsia="宋体" w:cs="宋体"/>
          <w:color w:val="000000" w:themeColor="text1"/>
          <w:kern w:val="0"/>
          <w:sz w:val="32"/>
          <w:szCs w:val="32"/>
          <w:lang w:val="en-US" w:eastAsia="zh-CN"/>
          <w14:textFill>
            <w14:solidFill>
              <w14:schemeClr w14:val="tx1"/>
            </w14:solidFill>
          </w14:textFill>
        </w:rPr>
        <w:t>01</w:t>
      </w:r>
      <w:r>
        <w:rPr>
          <w:rFonts w:hint="eastAsia" w:ascii="宋体" w:hAnsi="宋体" w:eastAsia="宋体" w:cs="宋体"/>
          <w:color w:val="000000" w:themeColor="text1"/>
          <w:kern w:val="0"/>
          <w:sz w:val="32"/>
          <w:szCs w:val="32"/>
          <w14:textFill>
            <w14:solidFill>
              <w14:schemeClr w14:val="tx1"/>
            </w14:solidFill>
          </w14:textFill>
        </w:rPr>
        <w:t>）。年初预算</w:t>
      </w:r>
      <w:r>
        <w:rPr>
          <w:rFonts w:hint="eastAsia" w:ascii="宋体" w:hAnsi="宋体" w:eastAsia="宋体" w:cs="宋体"/>
          <w:color w:val="000000" w:themeColor="text1"/>
          <w:kern w:val="0"/>
          <w:sz w:val="32"/>
          <w:szCs w:val="32"/>
          <w:lang w:val="en-US" w:eastAsia="zh-CN"/>
          <w14:textFill>
            <w14:solidFill>
              <w14:schemeClr w14:val="tx1"/>
            </w14:solidFill>
          </w14:textFill>
        </w:rPr>
        <w:t>28.60</w:t>
      </w:r>
      <w:r>
        <w:rPr>
          <w:rFonts w:hint="eastAsia" w:ascii="宋体" w:hAnsi="宋体" w:eastAsia="宋体" w:cs="宋体"/>
          <w:color w:val="000000" w:themeColor="text1"/>
          <w:kern w:val="0"/>
          <w:sz w:val="32"/>
          <w:szCs w:val="32"/>
          <w14:textFill>
            <w14:solidFill>
              <w14:schemeClr w14:val="tx1"/>
            </w14:solidFill>
          </w14:textFill>
        </w:rPr>
        <w:t>万元，支出决算</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26.35</w:t>
      </w:r>
      <w:r>
        <w:rPr>
          <w:rFonts w:hint="eastAsia" w:ascii="宋体" w:hAnsi="宋体" w:eastAsia="宋体" w:cs="宋体"/>
          <w:color w:val="000000" w:themeColor="text1"/>
          <w:kern w:val="0"/>
          <w:sz w:val="32"/>
          <w:szCs w:val="32"/>
          <w14:textFill>
            <w14:solidFill>
              <w14:schemeClr w14:val="tx1"/>
            </w14:solidFill>
          </w14:textFill>
        </w:rPr>
        <w:t>万元，完成年初预算的</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92.13</w:t>
      </w:r>
      <w:r>
        <w:rPr>
          <w:rFonts w:hint="eastAsia" w:ascii="宋体" w:hAnsi="宋体" w:eastAsia="宋体" w:cs="宋体"/>
          <w:color w:val="000000" w:themeColor="text1"/>
          <w:kern w:val="0"/>
          <w:sz w:val="32"/>
          <w:szCs w:val="32"/>
          <w14:textFill>
            <w14:solidFill>
              <w14:schemeClr w14:val="tx1"/>
            </w14:solidFill>
          </w14:textFill>
        </w:rPr>
        <w:t>%。决算数与年初预算数的差异原因：</w:t>
      </w:r>
      <w:r>
        <w:rPr>
          <w:rFonts w:hint="eastAsia" w:ascii="宋体" w:hAnsi="宋体" w:eastAsia="宋体" w:cs="宋体"/>
          <w:color w:val="000000" w:themeColor="text1"/>
          <w:kern w:val="0"/>
          <w:sz w:val="32"/>
          <w:szCs w:val="32"/>
          <w:lang w:val="en-US" w:eastAsia="zh-CN"/>
          <w14:textFill>
            <w14:solidFill>
              <w14:schemeClr w14:val="tx1"/>
            </w14:solidFill>
          </w14:textFill>
        </w:rPr>
        <w:t>在职人员调动和退休人员离世终止</w:t>
      </w:r>
      <w:r>
        <w:rPr>
          <w:rFonts w:hint="eastAsia" w:ascii="宋体" w:hAnsi="宋体" w:eastAsia="宋体" w:cs="宋体"/>
          <w:color w:val="000000" w:themeColor="text1"/>
          <w:kern w:val="0"/>
          <w:sz w:val="32"/>
          <w:szCs w:val="32"/>
          <w14:textFill>
            <w14:solidFill>
              <w14:schemeClr w14:val="tx1"/>
            </w14:solidFill>
          </w14:textFill>
        </w:rPr>
        <w:t>。</w:t>
      </w:r>
    </w:p>
    <w:p w14:paraId="20839688">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color w:val="000000" w:themeColor="text1"/>
          <w:kern w:val="0"/>
          <w:sz w:val="32"/>
          <w:szCs w:val="32"/>
          <w14:textFill>
            <w14:solidFill>
              <w14:schemeClr w14:val="tx1"/>
            </w14:solidFill>
          </w14:textFill>
        </w:rPr>
        <w:t>行政事业单位医疗（款）事业单位医疗（项）。</w:t>
      </w:r>
      <w:r>
        <w:rPr>
          <w:rFonts w:hint="eastAsia" w:ascii="宋体" w:hAnsi="宋体" w:eastAsia="宋体" w:cs="宋体"/>
          <w:kern w:val="0"/>
          <w:sz w:val="32"/>
          <w:szCs w:val="32"/>
        </w:rPr>
        <w:t>年初预算</w:t>
      </w:r>
      <w:r>
        <w:rPr>
          <w:rFonts w:hint="eastAsia" w:ascii="宋体" w:hAnsi="宋体" w:eastAsia="宋体" w:cs="宋体"/>
          <w:kern w:val="0"/>
          <w:sz w:val="32"/>
          <w:szCs w:val="32"/>
          <w:u w:val="single"/>
          <w:lang w:val="en-US" w:eastAsia="zh-CN"/>
        </w:rPr>
        <w:t>0.00</w:t>
      </w:r>
      <w:r>
        <w:rPr>
          <w:rFonts w:hint="eastAsia" w:ascii="宋体" w:hAnsi="宋体" w:eastAsia="宋体" w:cs="宋体"/>
          <w:kern w:val="0"/>
          <w:sz w:val="32"/>
          <w:szCs w:val="32"/>
        </w:rPr>
        <w:t>万元，支出决算</w:t>
      </w:r>
      <w:r>
        <w:rPr>
          <w:rFonts w:hint="eastAsia" w:ascii="宋体" w:hAnsi="宋体" w:eastAsia="宋体" w:cs="宋体"/>
          <w:kern w:val="0"/>
          <w:sz w:val="32"/>
          <w:szCs w:val="32"/>
          <w:u w:val="single"/>
          <w:lang w:val="en-US" w:eastAsia="zh-CN"/>
        </w:rPr>
        <w:t>0.00</w:t>
      </w:r>
      <w:r>
        <w:rPr>
          <w:rFonts w:hint="eastAsia" w:ascii="宋体" w:hAnsi="宋体" w:eastAsia="宋体" w:cs="宋体"/>
          <w:kern w:val="0"/>
          <w:sz w:val="32"/>
          <w:szCs w:val="32"/>
        </w:rPr>
        <w:t>万元，完成年初预算的</w:t>
      </w:r>
      <w:r>
        <w:rPr>
          <w:rFonts w:hint="eastAsia" w:ascii="宋体" w:hAnsi="宋体" w:eastAsia="宋体" w:cs="宋体"/>
          <w:kern w:val="0"/>
          <w:sz w:val="32"/>
          <w:szCs w:val="32"/>
          <w:lang w:val="en-US" w:eastAsia="zh-CN"/>
        </w:rPr>
        <w:t>0.00</w:t>
      </w:r>
      <w:r>
        <w:rPr>
          <w:rFonts w:hint="eastAsia" w:ascii="宋体" w:hAnsi="宋体" w:eastAsia="宋体" w:cs="宋体"/>
          <w:kern w:val="0"/>
          <w:sz w:val="32"/>
          <w:szCs w:val="32"/>
        </w:rPr>
        <w:t>%。决算数与年初预算数的差异原因：</w:t>
      </w:r>
      <w:r>
        <w:rPr>
          <w:rFonts w:hint="eastAsia" w:ascii="宋体" w:hAnsi="宋体" w:eastAsia="宋体" w:cs="宋体"/>
          <w:kern w:val="0"/>
          <w:sz w:val="32"/>
          <w:szCs w:val="32"/>
          <w:lang w:val="en-US" w:eastAsia="zh-CN"/>
        </w:rPr>
        <w:t>无</w:t>
      </w:r>
      <w:r>
        <w:rPr>
          <w:rFonts w:hint="eastAsia" w:ascii="宋体" w:hAnsi="宋体" w:eastAsia="宋体" w:cs="宋体"/>
          <w:kern w:val="0"/>
          <w:sz w:val="32"/>
          <w:szCs w:val="32"/>
        </w:rPr>
        <w:t>。</w:t>
      </w:r>
    </w:p>
    <w:p w14:paraId="541541BC">
      <w:pPr>
        <w:pageBreakBefore w:val="0"/>
        <w:widowControl/>
        <w:kinsoku/>
        <w:wordWrap/>
        <w:overflowPunct/>
        <w:topLinePunct w:val="0"/>
        <w:autoSpaceDE/>
        <w:autoSpaceDN/>
        <w:bidi w:val="0"/>
        <w:spacing w:line="240" w:lineRule="auto"/>
        <w:ind w:left="0" w:leftChars="0"/>
        <w:textAlignment w:val="auto"/>
        <w:rPr>
          <w:rFonts w:hint="eastAsia" w:ascii="宋体" w:hAnsi="宋体" w:eastAsia="宋体" w:cs="宋体"/>
        </w:rPr>
      </w:pPr>
      <w:r>
        <w:rPr>
          <w:rFonts w:hint="eastAsia" w:ascii="宋体" w:hAnsi="宋体" w:eastAsia="宋体" w:cs="宋体"/>
          <w:kern w:val="0"/>
          <w:sz w:val="32"/>
          <w:szCs w:val="32"/>
        </w:rPr>
        <w:t>    3．行政事业单位医疗（款）公务员医疗补助（项）。年初预算</w:t>
      </w:r>
      <w:r>
        <w:rPr>
          <w:rFonts w:hint="eastAsia" w:ascii="宋体" w:hAnsi="宋体" w:eastAsia="宋体" w:cs="宋体"/>
          <w:kern w:val="0"/>
          <w:sz w:val="32"/>
          <w:szCs w:val="32"/>
          <w:u w:val="single"/>
          <w:lang w:val="en-US" w:eastAsia="zh-CN"/>
        </w:rPr>
        <w:t>0.00</w:t>
      </w:r>
      <w:r>
        <w:rPr>
          <w:rFonts w:hint="eastAsia" w:ascii="宋体" w:hAnsi="宋体" w:eastAsia="宋体" w:cs="宋体"/>
          <w:kern w:val="0"/>
          <w:sz w:val="32"/>
          <w:szCs w:val="32"/>
        </w:rPr>
        <w:t>万元，支出决算</w:t>
      </w:r>
      <w:r>
        <w:rPr>
          <w:rFonts w:hint="eastAsia" w:ascii="宋体" w:hAnsi="宋体" w:eastAsia="宋体" w:cs="宋体"/>
          <w:kern w:val="0"/>
          <w:sz w:val="32"/>
          <w:szCs w:val="32"/>
          <w:u w:val="single"/>
          <w:lang w:val="en-US" w:eastAsia="zh-CN"/>
        </w:rPr>
        <w:t>0.00</w:t>
      </w:r>
      <w:r>
        <w:rPr>
          <w:rFonts w:hint="eastAsia" w:ascii="宋体" w:hAnsi="宋体" w:eastAsia="宋体" w:cs="宋体"/>
          <w:kern w:val="0"/>
          <w:sz w:val="32"/>
          <w:szCs w:val="32"/>
        </w:rPr>
        <w:t>万元，完成年初预算的</w:t>
      </w:r>
      <w:r>
        <w:rPr>
          <w:rFonts w:hint="eastAsia" w:ascii="宋体" w:hAnsi="宋体" w:eastAsia="宋体" w:cs="宋体"/>
          <w:kern w:val="0"/>
          <w:sz w:val="32"/>
          <w:szCs w:val="32"/>
          <w:u w:val="single"/>
          <w:lang w:val="en-US" w:eastAsia="zh-CN"/>
        </w:rPr>
        <w:t>0.00</w:t>
      </w:r>
      <w:r>
        <w:rPr>
          <w:rFonts w:hint="eastAsia" w:ascii="宋体" w:hAnsi="宋体" w:eastAsia="宋体" w:cs="宋体"/>
          <w:kern w:val="0"/>
          <w:sz w:val="32"/>
          <w:szCs w:val="32"/>
        </w:rPr>
        <w:t>%。决算数与年初预算数的差异原因：</w:t>
      </w:r>
      <w:r>
        <w:rPr>
          <w:rFonts w:hint="eastAsia" w:ascii="宋体" w:hAnsi="宋体" w:eastAsia="宋体" w:cs="宋体"/>
          <w:kern w:val="0"/>
          <w:sz w:val="32"/>
          <w:szCs w:val="32"/>
          <w:lang w:val="en-US" w:eastAsia="zh-CN"/>
        </w:rPr>
        <w:t>无</w:t>
      </w:r>
      <w:r>
        <w:rPr>
          <w:rFonts w:hint="eastAsia" w:ascii="宋体" w:hAnsi="宋体" w:eastAsia="宋体" w:cs="宋体"/>
          <w:kern w:val="0"/>
          <w:sz w:val="32"/>
          <w:szCs w:val="32"/>
        </w:rPr>
        <w:t>。</w:t>
      </w:r>
    </w:p>
    <w:p w14:paraId="0C2235FD">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（五）住房保障支出（</w:t>
      </w:r>
      <w:r>
        <w:rPr>
          <w:rFonts w:hint="eastAsia" w:ascii="宋体" w:hAnsi="宋体" w:eastAsia="宋体" w:cs="宋体"/>
          <w:b/>
          <w:bCs/>
          <w:kern w:val="0"/>
          <w:sz w:val="32"/>
          <w:szCs w:val="32"/>
          <w:lang w:val="en-US" w:eastAsia="zh-CN"/>
        </w:rPr>
        <w:t>221</w:t>
      </w:r>
      <w:r>
        <w:rPr>
          <w:rFonts w:hint="eastAsia" w:ascii="宋体" w:hAnsi="宋体" w:eastAsia="宋体" w:cs="宋体"/>
          <w:b/>
          <w:bCs/>
          <w:kern w:val="0"/>
          <w:sz w:val="32"/>
          <w:szCs w:val="32"/>
        </w:rPr>
        <w:t>）</w:t>
      </w:r>
    </w:p>
    <w:p w14:paraId="2A2854F1">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kern w:val="0"/>
          <w:sz w:val="32"/>
          <w:szCs w:val="32"/>
        </w:rPr>
        <w:t>住房保障支出类决算数为</w:t>
      </w:r>
      <w:r>
        <w:rPr>
          <w:rFonts w:hint="eastAsia" w:ascii="宋体" w:hAnsi="宋体" w:eastAsia="宋体" w:cs="宋体"/>
          <w:kern w:val="0"/>
          <w:sz w:val="32"/>
          <w:szCs w:val="32"/>
          <w:u w:val="single"/>
        </w:rPr>
        <w:t xml:space="preserve"> 41.42</w:t>
      </w:r>
      <w:r>
        <w:rPr>
          <w:rFonts w:hint="eastAsia" w:ascii="宋体" w:hAnsi="宋体" w:eastAsia="宋体" w:cs="宋体"/>
          <w:kern w:val="0"/>
          <w:sz w:val="32"/>
          <w:szCs w:val="32"/>
        </w:rPr>
        <w:t>万元，与年初预算相比减少</w:t>
      </w:r>
      <w:r>
        <w:rPr>
          <w:rFonts w:hint="eastAsia" w:ascii="宋体" w:hAnsi="宋体" w:eastAsia="宋体" w:cs="宋体"/>
          <w:kern w:val="0"/>
          <w:sz w:val="32"/>
          <w:szCs w:val="32"/>
          <w:u w:val="single"/>
        </w:rPr>
        <w:t>-</w:t>
      </w:r>
      <w:r>
        <w:rPr>
          <w:rFonts w:hint="eastAsia" w:ascii="宋体" w:hAnsi="宋体" w:eastAsia="宋体" w:cs="宋体"/>
          <w:b w:val="0"/>
          <w:bCs w:val="0"/>
          <w:color w:val="000000" w:themeColor="text1"/>
          <w:kern w:val="0"/>
          <w:sz w:val="32"/>
          <w:szCs w:val="32"/>
          <w:u w:val="single"/>
          <w14:textFill>
            <w14:solidFill>
              <w14:schemeClr w14:val="tx1"/>
            </w14:solidFill>
          </w14:textFill>
        </w:rPr>
        <w:t>1.47</w:t>
      </w:r>
      <w:r>
        <w:rPr>
          <w:rFonts w:hint="eastAsia" w:ascii="宋体" w:hAnsi="宋体" w:eastAsia="宋体" w:cs="宋体"/>
          <w:b w:val="0"/>
          <w:bCs w:val="0"/>
          <w:color w:val="000000" w:themeColor="text1"/>
          <w:kern w:val="0"/>
          <w:sz w:val="32"/>
          <w:szCs w:val="32"/>
          <w14:textFill>
            <w14:solidFill>
              <w14:schemeClr w14:val="tx1"/>
            </w14:solidFill>
          </w14:textFill>
        </w:rPr>
        <w:t>万元。其中：</w:t>
      </w:r>
    </w:p>
    <w:p w14:paraId="4F79C47C">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b w:val="0"/>
          <w:bCs w:val="0"/>
          <w:color w:val="000000" w:themeColor="text1"/>
          <w:kern w:val="0"/>
          <w:sz w:val="32"/>
          <w:szCs w:val="32"/>
          <w14:textFill>
            <w14:solidFill>
              <w14:schemeClr w14:val="tx1"/>
            </w14:solidFill>
          </w14:textFill>
        </w:rPr>
        <w:t>1．住房改革支出（</w:t>
      </w:r>
      <w:r>
        <w:rPr>
          <w:rFonts w:hint="eastAsia" w:ascii="宋体" w:hAnsi="宋体" w:eastAsia="宋体" w:cs="宋体"/>
          <w:b w:val="0"/>
          <w:bCs w:val="0"/>
          <w:color w:val="000000" w:themeColor="text1"/>
          <w:kern w:val="0"/>
          <w:sz w:val="32"/>
          <w:szCs w:val="32"/>
          <w:lang w:val="en-US" w:eastAsia="zh-CN"/>
          <w14:textFill>
            <w14:solidFill>
              <w14:schemeClr w14:val="tx1"/>
            </w14:solidFill>
          </w14:textFill>
        </w:rPr>
        <w:t>02</w:t>
      </w:r>
      <w:r>
        <w:rPr>
          <w:rFonts w:hint="eastAsia" w:ascii="宋体" w:hAnsi="宋体" w:eastAsia="宋体" w:cs="宋体"/>
          <w:b w:val="0"/>
          <w:bCs w:val="0"/>
          <w:color w:val="000000" w:themeColor="text1"/>
          <w:kern w:val="0"/>
          <w:sz w:val="32"/>
          <w:szCs w:val="32"/>
          <w14:textFill>
            <w14:solidFill>
              <w14:schemeClr w14:val="tx1"/>
            </w14:solidFill>
          </w14:textFill>
        </w:rPr>
        <w:t>）住房公积金（</w:t>
      </w:r>
      <w:r>
        <w:rPr>
          <w:rFonts w:hint="eastAsia" w:ascii="宋体" w:hAnsi="宋体" w:eastAsia="宋体" w:cs="宋体"/>
          <w:b w:val="0"/>
          <w:bCs w:val="0"/>
          <w:color w:val="000000" w:themeColor="text1"/>
          <w:kern w:val="0"/>
          <w:sz w:val="32"/>
          <w:szCs w:val="32"/>
          <w:lang w:val="en-US" w:eastAsia="zh-CN"/>
          <w14:textFill>
            <w14:solidFill>
              <w14:schemeClr w14:val="tx1"/>
            </w14:solidFill>
          </w14:textFill>
        </w:rPr>
        <w:t>01</w:t>
      </w:r>
      <w:r>
        <w:rPr>
          <w:rFonts w:hint="eastAsia" w:ascii="宋体" w:hAnsi="宋体" w:eastAsia="宋体" w:cs="宋体"/>
          <w:b w:val="0"/>
          <w:bCs w:val="0"/>
          <w:color w:val="000000" w:themeColor="text1"/>
          <w:kern w:val="0"/>
          <w:sz w:val="32"/>
          <w:szCs w:val="32"/>
          <w14:textFill>
            <w14:solidFill>
              <w14:schemeClr w14:val="tx1"/>
            </w14:solidFill>
          </w14:textFill>
        </w:rPr>
        <w:t>）。年初预算</w:t>
      </w:r>
      <w:r>
        <w:rPr>
          <w:rFonts w:hint="eastAsia" w:ascii="宋体" w:hAnsi="宋体" w:eastAsia="宋体" w:cs="宋体"/>
          <w:b w:val="0"/>
          <w:bCs w:val="0"/>
          <w:color w:val="000000" w:themeColor="text1"/>
          <w:kern w:val="0"/>
          <w:sz w:val="32"/>
          <w:szCs w:val="32"/>
          <w:u w:val="single"/>
          <w:lang w:val="en-US" w:eastAsia="zh-CN"/>
          <w14:textFill>
            <w14:solidFill>
              <w14:schemeClr w14:val="tx1"/>
            </w14:solidFill>
          </w14:textFill>
        </w:rPr>
        <w:t>42.89</w:t>
      </w:r>
      <w:r>
        <w:rPr>
          <w:rFonts w:hint="eastAsia" w:ascii="宋体" w:hAnsi="宋体" w:eastAsia="宋体" w:cs="宋体"/>
          <w:b w:val="0"/>
          <w:bCs w:val="0"/>
          <w:color w:val="000000" w:themeColor="text1"/>
          <w:kern w:val="0"/>
          <w:sz w:val="32"/>
          <w:szCs w:val="32"/>
          <w14:textFill>
            <w14:solidFill>
              <w14:schemeClr w14:val="tx1"/>
            </w14:solidFill>
          </w14:textFill>
        </w:rPr>
        <w:t>万元，支出决算</w:t>
      </w:r>
      <w:r>
        <w:rPr>
          <w:rFonts w:hint="eastAsia" w:ascii="宋体" w:hAnsi="宋体" w:eastAsia="宋体" w:cs="宋体"/>
          <w:b w:val="0"/>
          <w:bCs w:val="0"/>
          <w:color w:val="000000" w:themeColor="text1"/>
          <w:kern w:val="0"/>
          <w:sz w:val="32"/>
          <w:szCs w:val="32"/>
          <w:u w:val="single"/>
          <w:lang w:val="en-US" w:eastAsia="zh-CN"/>
          <w14:textFill>
            <w14:solidFill>
              <w14:schemeClr w14:val="tx1"/>
            </w14:solidFill>
          </w14:textFill>
        </w:rPr>
        <w:t>41.42</w:t>
      </w:r>
      <w:r>
        <w:rPr>
          <w:rFonts w:hint="eastAsia" w:ascii="宋体" w:hAnsi="宋体" w:eastAsia="宋体" w:cs="宋体"/>
          <w:b w:val="0"/>
          <w:bCs w:val="0"/>
          <w:color w:val="000000" w:themeColor="text1"/>
          <w:kern w:val="0"/>
          <w:sz w:val="32"/>
          <w:szCs w:val="32"/>
          <w14:textFill>
            <w14:solidFill>
              <w14:schemeClr w14:val="tx1"/>
            </w14:solidFill>
          </w14:textFill>
        </w:rPr>
        <w:t>万元，完成年初预算的</w:t>
      </w:r>
      <w:r>
        <w:rPr>
          <w:rFonts w:hint="eastAsia" w:ascii="宋体" w:hAnsi="宋体" w:eastAsia="宋体" w:cs="宋体"/>
          <w:b w:val="0"/>
          <w:bCs w:val="0"/>
          <w:color w:val="000000" w:themeColor="text1"/>
          <w:kern w:val="0"/>
          <w:sz w:val="32"/>
          <w:szCs w:val="32"/>
          <w:u w:val="single"/>
          <w:lang w:val="en-US" w:eastAsia="zh-CN"/>
          <w14:textFill>
            <w14:solidFill>
              <w14:schemeClr w14:val="tx1"/>
            </w14:solidFill>
          </w14:textFill>
        </w:rPr>
        <w:t>96.57</w:t>
      </w:r>
      <w:r>
        <w:rPr>
          <w:rFonts w:hint="eastAsia" w:ascii="宋体" w:hAnsi="宋体" w:eastAsia="宋体" w:cs="宋体"/>
          <w:b w:val="0"/>
          <w:bCs w:val="0"/>
          <w:color w:val="000000" w:themeColor="text1"/>
          <w:kern w:val="0"/>
          <w:sz w:val="32"/>
          <w:szCs w:val="32"/>
          <w14:textFill>
            <w14:solidFill>
              <w14:schemeClr w14:val="tx1"/>
            </w14:solidFill>
          </w14:textFill>
        </w:rPr>
        <w:t>%。决算数与年初预算数的差异原因：</w:t>
      </w:r>
      <w:r>
        <w:rPr>
          <w:rFonts w:hint="eastAsia" w:ascii="宋体" w:hAnsi="宋体" w:eastAsia="宋体" w:cs="宋体"/>
          <w:b w:val="0"/>
          <w:bCs w:val="0"/>
          <w:color w:val="000000" w:themeColor="text1"/>
          <w:kern w:val="0"/>
          <w:sz w:val="32"/>
          <w:szCs w:val="32"/>
          <w:lang w:val="en-US" w:eastAsia="zh-CN"/>
          <w14:textFill>
            <w14:solidFill>
              <w14:schemeClr w14:val="tx1"/>
            </w14:solidFill>
          </w14:textFill>
        </w:rPr>
        <w:t>在职人员调动</w:t>
      </w:r>
      <w:r>
        <w:rPr>
          <w:rFonts w:hint="eastAsia" w:ascii="宋体" w:hAnsi="宋体" w:eastAsia="宋体" w:cs="宋体"/>
          <w:b w:val="0"/>
          <w:bCs w:val="0"/>
          <w:color w:val="000000" w:themeColor="text1"/>
          <w:kern w:val="0"/>
          <w:sz w:val="32"/>
          <w:szCs w:val="32"/>
          <w14:textFill>
            <w14:solidFill>
              <w14:schemeClr w14:val="tx1"/>
            </w14:solidFill>
          </w14:textFill>
        </w:rPr>
        <w:t>。</w:t>
      </w:r>
    </w:p>
    <w:p w14:paraId="29197121">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六、一般公共预算财政拨款基本支出决算情况说明</w:t>
      </w:r>
    </w:p>
    <w:p w14:paraId="0FF2C949">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kern w:val="0"/>
          <w:sz w:val="32"/>
          <w:szCs w:val="32"/>
        </w:rPr>
        <w:t>鄂温克族自治旗财政局（部门） 2023年度一般公共预算财政拨款基</w:t>
      </w:r>
      <w:r>
        <w:rPr>
          <w:rFonts w:hint="eastAsia" w:ascii="宋体" w:hAnsi="宋体" w:eastAsia="宋体" w:cs="宋体"/>
          <w:b w:val="0"/>
          <w:bCs w:val="0"/>
          <w:color w:val="000000" w:themeColor="text1"/>
          <w:kern w:val="0"/>
          <w:sz w:val="32"/>
          <w:szCs w:val="32"/>
          <w14:textFill>
            <w14:solidFill>
              <w14:schemeClr w14:val="tx1"/>
            </w14:solidFill>
          </w14:textFill>
        </w:rPr>
        <w:t>本支出决算</w:t>
      </w:r>
      <w:r>
        <w:rPr>
          <w:rFonts w:hint="eastAsia" w:ascii="宋体" w:hAnsi="宋体" w:eastAsia="宋体" w:cs="宋体"/>
          <w:b w:val="0"/>
          <w:bCs w:val="0"/>
          <w:color w:val="000000" w:themeColor="text1"/>
          <w:kern w:val="0"/>
          <w:sz w:val="32"/>
          <w:szCs w:val="32"/>
          <w:u w:val="single"/>
          <w14:textFill>
            <w14:solidFill>
              <w14:schemeClr w14:val="tx1"/>
            </w14:solidFill>
          </w14:textFill>
        </w:rPr>
        <w:t xml:space="preserve"> 1,549.44</w:t>
      </w:r>
      <w:r>
        <w:rPr>
          <w:rFonts w:hint="eastAsia" w:ascii="宋体" w:hAnsi="宋体" w:eastAsia="宋体" w:cs="宋体"/>
          <w:b w:val="0"/>
          <w:bCs w:val="0"/>
          <w:color w:val="000000" w:themeColor="text1"/>
          <w:kern w:val="0"/>
          <w:sz w:val="32"/>
          <w:szCs w:val="32"/>
          <w14:textFill>
            <w14:solidFill>
              <w14:schemeClr w14:val="tx1"/>
            </w14:solidFill>
          </w14:textFill>
        </w:rPr>
        <w:t>万元，其中：</w:t>
      </w:r>
    </w:p>
    <w:p w14:paraId="3B3C75B9">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b w:val="0"/>
          <w:bCs w:val="0"/>
          <w:color w:val="000000" w:themeColor="text1"/>
          <w:kern w:val="0"/>
          <w:sz w:val="32"/>
          <w:szCs w:val="32"/>
          <w14:textFill>
            <w14:solidFill>
              <w14:schemeClr w14:val="tx1"/>
            </w14:solidFill>
          </w14:textFill>
        </w:rPr>
        <w:t>（一）人员经费</w:t>
      </w:r>
      <w:r>
        <w:rPr>
          <w:rFonts w:hint="eastAsia" w:ascii="宋体" w:hAnsi="宋体" w:eastAsia="宋体" w:cs="宋体"/>
          <w:b w:val="0"/>
          <w:bCs w:val="0"/>
          <w:color w:val="000000" w:themeColor="text1"/>
          <w:kern w:val="0"/>
          <w:sz w:val="32"/>
          <w:szCs w:val="32"/>
          <w:u w:val="single"/>
          <w14:textFill>
            <w14:solidFill>
              <w14:schemeClr w14:val="tx1"/>
            </w14:solidFill>
          </w14:textFill>
        </w:rPr>
        <w:t xml:space="preserve"> 585.88</w:t>
      </w:r>
      <w:r>
        <w:rPr>
          <w:rFonts w:hint="eastAsia" w:ascii="宋体" w:hAnsi="宋体" w:eastAsia="宋体" w:cs="宋体"/>
          <w:b w:val="0"/>
          <w:bCs w:val="0"/>
          <w:color w:val="000000" w:themeColor="text1"/>
          <w:kern w:val="0"/>
          <w:sz w:val="32"/>
          <w:szCs w:val="32"/>
          <w14:textFill>
            <w14:solidFill>
              <w14:schemeClr w14:val="tx1"/>
            </w14:solidFill>
          </w14:textFill>
        </w:rPr>
        <w:t>万元。主要包括：基本工资、津贴补贴、奖金、社会保障缴费、伙食补助费、绩效工资、其他工资福利支出、离休费、退休费、抚恤金、生活补助、医疗费、奖励金、住房公积金、提租补贴、其他对个人和家庭的补助支出等。</w:t>
      </w:r>
    </w:p>
    <w:p w14:paraId="68462866">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b w:val="0"/>
          <w:bCs w:val="0"/>
          <w:color w:val="000000" w:themeColor="text1"/>
          <w:kern w:val="0"/>
          <w:sz w:val="32"/>
          <w:szCs w:val="32"/>
          <w14:textFill>
            <w14:solidFill>
              <w14:schemeClr w14:val="tx1"/>
            </w14:solidFill>
          </w14:textFill>
        </w:rPr>
        <w:t>（二）公用经费</w:t>
      </w:r>
      <w:r>
        <w:rPr>
          <w:rFonts w:hint="eastAsia" w:ascii="宋体" w:hAnsi="宋体" w:eastAsia="宋体" w:cs="宋体"/>
          <w:b w:val="0"/>
          <w:bCs w:val="0"/>
          <w:color w:val="000000" w:themeColor="text1"/>
          <w:kern w:val="0"/>
          <w:sz w:val="32"/>
          <w:szCs w:val="32"/>
          <w:u w:val="single"/>
          <w14:textFill>
            <w14:solidFill>
              <w14:schemeClr w14:val="tx1"/>
            </w14:solidFill>
          </w14:textFill>
        </w:rPr>
        <w:t xml:space="preserve"> 963.56</w:t>
      </w:r>
      <w:r>
        <w:rPr>
          <w:rFonts w:hint="eastAsia" w:ascii="宋体" w:hAnsi="宋体" w:eastAsia="宋体" w:cs="宋体"/>
          <w:b w:val="0"/>
          <w:bCs w:val="0"/>
          <w:color w:val="000000" w:themeColor="text1"/>
          <w:kern w:val="0"/>
          <w:sz w:val="32"/>
          <w:szCs w:val="32"/>
          <w14:textFill>
            <w14:solidFill>
              <w14:schemeClr w14:val="tx1"/>
            </w14:solidFill>
          </w14:textFill>
        </w:rPr>
        <w:t>万元。主要包括：办公费、印刷费、咨询费、手续费、水费、电费、邮电费、取暖费、物业管理费、差旅费、维修（护）费、租赁费、会议费、培训费、公务接待费、专用材料费、劳务费、委托业务费、工会经费、福利费、公务用车运行维护费、其他交通费用、其他商品和服务支出、办公设备购置、专用设备购置、信息网络及软件购置更新、其他资本性支出等。</w:t>
      </w:r>
    </w:p>
    <w:p w14:paraId="3182A5BE">
      <w:pPr>
        <w:pageBreakBefore w:val="0"/>
        <w:widowControl/>
        <w:kinsoku/>
        <w:wordWrap/>
        <w:overflowPunct/>
        <w:topLinePunct w:val="0"/>
        <w:autoSpaceDE/>
        <w:autoSpaceDN/>
        <w:bidi w:val="0"/>
        <w:spacing w:line="240" w:lineRule="auto"/>
        <w:ind w:left="0" w:leftChars="0" w:firstLine="963"/>
        <w:jc w:val="left"/>
        <w:textAlignment w:val="auto"/>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b w:val="0"/>
          <w:bCs w:val="0"/>
          <w:color w:val="000000" w:themeColor="text1"/>
          <w:kern w:val="0"/>
          <w:sz w:val="32"/>
          <w:szCs w:val="32"/>
          <w14:textFill>
            <w14:solidFill>
              <w14:schemeClr w14:val="tx1"/>
            </w14:solidFill>
          </w14:textFill>
        </w:rPr>
        <w:t>七、一般公共预算财政拨款项目支出决算情况说明</w:t>
      </w:r>
    </w:p>
    <w:p w14:paraId="54E7273A">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b w:val="0"/>
          <w:bCs w:val="0"/>
          <w:color w:val="000000" w:themeColor="text1"/>
          <w:kern w:val="0"/>
          <w:sz w:val="32"/>
          <w:szCs w:val="32"/>
          <w14:textFill>
            <w14:solidFill>
              <w14:schemeClr w14:val="tx1"/>
            </w14:solidFill>
          </w14:textFill>
        </w:rPr>
        <w:t>鄂温克族自治旗财政局（部门） 2023年度一般公共预算财政拨款项目支出决算</w:t>
      </w:r>
      <w:r>
        <w:rPr>
          <w:rFonts w:hint="eastAsia" w:ascii="宋体" w:hAnsi="宋体" w:eastAsia="宋体" w:cs="宋体"/>
          <w:b w:val="0"/>
          <w:bCs w:val="0"/>
          <w:color w:val="000000" w:themeColor="text1"/>
          <w:kern w:val="0"/>
          <w:sz w:val="32"/>
          <w:szCs w:val="32"/>
          <w:u w:val="single"/>
          <w14:textFill>
            <w14:solidFill>
              <w14:schemeClr w14:val="tx1"/>
            </w14:solidFill>
          </w14:textFill>
        </w:rPr>
        <w:t xml:space="preserve"> 4.00</w:t>
      </w:r>
      <w:r>
        <w:rPr>
          <w:rFonts w:hint="eastAsia" w:ascii="宋体" w:hAnsi="宋体" w:eastAsia="宋体" w:cs="宋体"/>
          <w:b w:val="0"/>
          <w:bCs w:val="0"/>
          <w:color w:val="000000" w:themeColor="text1"/>
          <w:kern w:val="0"/>
          <w:sz w:val="32"/>
          <w:szCs w:val="32"/>
          <w14:textFill>
            <w14:solidFill>
              <w14:schemeClr w14:val="tx1"/>
            </w14:solidFill>
          </w14:textFill>
        </w:rPr>
        <w:t>万元，其中：</w:t>
      </w:r>
    </w:p>
    <w:p w14:paraId="2F6B4447">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b w:val="0"/>
          <w:bCs w:val="0"/>
          <w:color w:val="000000" w:themeColor="text1"/>
          <w:kern w:val="0"/>
          <w:sz w:val="32"/>
          <w:szCs w:val="32"/>
          <w14:textFill>
            <w14:solidFill>
              <w14:schemeClr w14:val="tx1"/>
            </w14:solidFill>
          </w14:textFill>
        </w:rPr>
      </w:pPr>
      <w:r>
        <w:rPr>
          <w:rFonts w:hint="eastAsia" w:ascii="宋体" w:hAnsi="宋体" w:eastAsia="宋体" w:cs="宋体"/>
          <w:b w:val="0"/>
          <w:bCs w:val="0"/>
          <w:color w:val="000000" w:themeColor="text1"/>
          <w:kern w:val="0"/>
          <w:sz w:val="32"/>
          <w:szCs w:val="32"/>
          <w14:textFill>
            <w14:solidFill>
              <w14:schemeClr w14:val="tx1"/>
            </w14:solidFill>
          </w14:textFill>
        </w:rPr>
        <w:t>（一）工资福利支出</w:t>
      </w:r>
      <w:r>
        <w:rPr>
          <w:rFonts w:hint="eastAsia" w:ascii="宋体" w:hAnsi="宋体" w:eastAsia="宋体" w:cs="宋体"/>
          <w:b w:val="0"/>
          <w:bCs w:val="0"/>
          <w:color w:val="000000" w:themeColor="text1"/>
          <w:kern w:val="0"/>
          <w:sz w:val="32"/>
          <w:szCs w:val="32"/>
          <w:u w:val="single"/>
          <w14:textFill>
            <w14:solidFill>
              <w14:schemeClr w14:val="tx1"/>
            </w14:solidFill>
          </w14:textFill>
        </w:rPr>
        <w:t xml:space="preserve"> 0.00</w:t>
      </w:r>
      <w:r>
        <w:rPr>
          <w:rFonts w:hint="eastAsia" w:ascii="宋体" w:hAnsi="宋体" w:eastAsia="宋体" w:cs="宋体"/>
          <w:b w:val="0"/>
          <w:bCs w:val="0"/>
          <w:color w:val="000000" w:themeColor="text1"/>
          <w:kern w:val="0"/>
          <w:sz w:val="32"/>
          <w:szCs w:val="32"/>
          <w14:textFill>
            <w14:solidFill>
              <w14:schemeClr w14:val="tx1"/>
            </w14:solidFill>
          </w14:textFill>
        </w:rPr>
        <w:t>万元。主要包括：基本工资、津贴补贴、奖金、伙食补助费、绩效工资、机关事业单位基本养老保险缴费、职业年金缴费、职工基本医疗保险缴费、公务员医疗补助缴费、其他社会保障缴费、住房公积金、医疗费、其他工资福利支出等。</w:t>
      </w:r>
    </w:p>
    <w:p w14:paraId="057F8CE4">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b w:val="0"/>
          <w:bCs w:val="0"/>
          <w:color w:val="000000" w:themeColor="text1"/>
          <w:kern w:val="0"/>
          <w:sz w:val="32"/>
          <w:szCs w:val="32"/>
          <w14:textFill>
            <w14:solidFill>
              <w14:schemeClr w14:val="tx1"/>
            </w14:solidFill>
          </w14:textFill>
        </w:rPr>
        <w:t>（二）商品和服务支出</w:t>
      </w:r>
      <w:r>
        <w:rPr>
          <w:rFonts w:hint="eastAsia" w:ascii="宋体" w:hAnsi="宋体" w:eastAsia="宋体" w:cs="宋体"/>
          <w:b w:val="0"/>
          <w:bCs w:val="0"/>
          <w:color w:val="000000" w:themeColor="text1"/>
          <w:kern w:val="0"/>
          <w:sz w:val="32"/>
          <w:szCs w:val="32"/>
          <w:u w:val="single"/>
          <w14:textFill>
            <w14:solidFill>
              <w14:schemeClr w14:val="tx1"/>
            </w14:solidFill>
          </w14:textFill>
        </w:rPr>
        <w:t xml:space="preserve"> 4.00</w:t>
      </w:r>
      <w:r>
        <w:rPr>
          <w:rFonts w:hint="eastAsia" w:ascii="宋体" w:hAnsi="宋体" w:eastAsia="宋体" w:cs="宋体"/>
          <w:b w:val="0"/>
          <w:bCs w:val="0"/>
          <w:color w:val="000000" w:themeColor="text1"/>
          <w:kern w:val="0"/>
          <w:sz w:val="32"/>
          <w:szCs w:val="32"/>
          <w14:textFill>
            <w14:solidFill>
              <w14:schemeClr w14:val="tx1"/>
            </w14:solidFill>
          </w14:textFill>
        </w:rPr>
        <w:t>万元。主要包括：办公费、印刷费、咨询费、手续费、水费、电费、邮电费、取暖费、物业管</w:t>
      </w:r>
      <w:r>
        <w:rPr>
          <w:rFonts w:hint="eastAsia" w:ascii="宋体" w:hAnsi="宋体" w:eastAsia="宋体" w:cs="宋体"/>
          <w:kern w:val="0"/>
          <w:sz w:val="32"/>
          <w:szCs w:val="32"/>
        </w:rPr>
        <w:t>理费、差旅费、因公出国（境）费用、维修（护）费、租赁费、会议费、培训费、公务接待费、专用材料费、被装购置费、专用燃料费、劳务费、委托业务费工会经费、福利费、公务用车运行维护费、其他交通费用、税金及附加费用、其他商品和服务支出等。</w:t>
      </w:r>
    </w:p>
    <w:p w14:paraId="3F30CD85">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八、财政拨款“三公”经费支出决算情况说明</w:t>
      </w:r>
    </w:p>
    <w:p w14:paraId="34E052A5">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（一）财政拨款“三公”经费支出总体情况说明。</w:t>
      </w:r>
    </w:p>
    <w:p w14:paraId="59E457AE">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2023年度财政拨款“三公”经费全年预算</w:t>
      </w:r>
      <w:r>
        <w:rPr>
          <w:rFonts w:hint="eastAsia" w:ascii="宋体" w:hAnsi="宋体" w:eastAsia="宋体" w:cs="宋体"/>
          <w:kern w:val="0"/>
          <w:sz w:val="32"/>
          <w:szCs w:val="32"/>
          <w:u w:val="single"/>
        </w:rPr>
        <w:t xml:space="preserve"> 3.60</w:t>
      </w:r>
      <w:r>
        <w:rPr>
          <w:rFonts w:hint="eastAsia" w:ascii="宋体" w:hAnsi="宋体" w:eastAsia="宋体" w:cs="宋体"/>
          <w:kern w:val="0"/>
          <w:sz w:val="32"/>
          <w:szCs w:val="32"/>
        </w:rPr>
        <w:t>万元，支出决算</w:t>
      </w:r>
      <w:r>
        <w:rPr>
          <w:rFonts w:hint="eastAsia" w:ascii="宋体" w:hAnsi="宋体" w:eastAsia="宋体" w:cs="宋体"/>
          <w:kern w:val="0"/>
          <w:sz w:val="32"/>
          <w:szCs w:val="32"/>
          <w:u w:val="single"/>
        </w:rPr>
        <w:t xml:space="preserve"> 2.45</w:t>
      </w:r>
      <w:r>
        <w:rPr>
          <w:rFonts w:hint="eastAsia" w:ascii="宋体" w:hAnsi="宋体" w:eastAsia="宋体" w:cs="宋体"/>
          <w:kern w:val="0"/>
          <w:sz w:val="32"/>
          <w:szCs w:val="32"/>
        </w:rPr>
        <w:t>万元，完成预算的</w:t>
      </w:r>
      <w:r>
        <w:rPr>
          <w:rFonts w:hint="eastAsia" w:ascii="宋体" w:hAnsi="宋体" w:eastAsia="宋体" w:cs="宋体"/>
          <w:kern w:val="0"/>
          <w:sz w:val="32"/>
          <w:szCs w:val="32"/>
          <w:u w:val="single"/>
        </w:rPr>
        <w:t xml:space="preserve"> 68.06</w:t>
      </w:r>
      <w:r>
        <w:rPr>
          <w:rFonts w:hint="eastAsia" w:ascii="宋体" w:hAnsi="宋体" w:eastAsia="宋体" w:cs="宋体"/>
          <w:kern w:val="0"/>
          <w:sz w:val="32"/>
          <w:szCs w:val="32"/>
        </w:rPr>
        <w:t>%。其中：因公出国（境）费全年预算</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万元，支出决算</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万元，完成预算的</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%；公务用车购置及运行维护费全年预算</w:t>
      </w:r>
      <w:r>
        <w:rPr>
          <w:rFonts w:hint="eastAsia" w:ascii="宋体" w:hAnsi="宋体" w:eastAsia="宋体" w:cs="宋体"/>
          <w:kern w:val="0"/>
          <w:sz w:val="32"/>
          <w:szCs w:val="32"/>
          <w:u w:val="single"/>
        </w:rPr>
        <w:t xml:space="preserve"> 2.50</w:t>
      </w:r>
      <w:r>
        <w:rPr>
          <w:rFonts w:hint="eastAsia" w:ascii="宋体" w:hAnsi="宋体" w:eastAsia="宋体" w:cs="宋体"/>
          <w:kern w:val="0"/>
          <w:sz w:val="32"/>
          <w:szCs w:val="32"/>
        </w:rPr>
        <w:t>万元，支出决算</w:t>
      </w:r>
      <w:r>
        <w:rPr>
          <w:rFonts w:hint="eastAsia" w:ascii="宋体" w:hAnsi="宋体" w:eastAsia="宋体" w:cs="宋体"/>
          <w:kern w:val="0"/>
          <w:sz w:val="32"/>
          <w:szCs w:val="32"/>
          <w:u w:val="single"/>
        </w:rPr>
        <w:t xml:space="preserve"> 1.40</w:t>
      </w:r>
      <w:r>
        <w:rPr>
          <w:rFonts w:hint="eastAsia" w:ascii="宋体" w:hAnsi="宋体" w:eastAsia="宋体" w:cs="宋体"/>
          <w:kern w:val="0"/>
          <w:sz w:val="32"/>
          <w:szCs w:val="32"/>
        </w:rPr>
        <w:t>万元，完成预算的</w:t>
      </w:r>
      <w:r>
        <w:rPr>
          <w:rFonts w:hint="eastAsia" w:ascii="宋体" w:hAnsi="宋体" w:eastAsia="宋体" w:cs="宋体"/>
          <w:kern w:val="0"/>
          <w:sz w:val="32"/>
          <w:szCs w:val="32"/>
          <w:u w:val="single"/>
        </w:rPr>
        <w:t xml:space="preserve"> 56.00</w:t>
      </w:r>
      <w:r>
        <w:rPr>
          <w:rFonts w:hint="eastAsia" w:ascii="宋体" w:hAnsi="宋体" w:eastAsia="宋体" w:cs="宋体"/>
          <w:kern w:val="0"/>
          <w:sz w:val="32"/>
          <w:szCs w:val="32"/>
        </w:rPr>
        <w:t>%；公务接待费全年预算</w:t>
      </w:r>
      <w:r>
        <w:rPr>
          <w:rFonts w:hint="eastAsia" w:ascii="宋体" w:hAnsi="宋体" w:eastAsia="宋体" w:cs="宋体"/>
          <w:kern w:val="0"/>
          <w:sz w:val="32"/>
          <w:szCs w:val="32"/>
          <w:u w:val="single"/>
        </w:rPr>
        <w:t xml:space="preserve"> 1.10</w:t>
      </w:r>
      <w:r>
        <w:rPr>
          <w:rFonts w:hint="eastAsia" w:ascii="宋体" w:hAnsi="宋体" w:eastAsia="宋体" w:cs="宋体"/>
          <w:kern w:val="0"/>
          <w:sz w:val="32"/>
          <w:szCs w:val="32"/>
        </w:rPr>
        <w:t>万元，支出决算</w:t>
      </w:r>
      <w:r>
        <w:rPr>
          <w:rFonts w:hint="eastAsia" w:ascii="宋体" w:hAnsi="宋体" w:eastAsia="宋体" w:cs="宋体"/>
          <w:kern w:val="0"/>
          <w:sz w:val="32"/>
          <w:szCs w:val="32"/>
          <w:u w:val="single"/>
        </w:rPr>
        <w:t xml:space="preserve"> 1.05</w:t>
      </w:r>
      <w:r>
        <w:rPr>
          <w:rFonts w:hint="eastAsia" w:ascii="宋体" w:hAnsi="宋体" w:eastAsia="宋体" w:cs="宋体"/>
          <w:kern w:val="0"/>
          <w:sz w:val="32"/>
          <w:szCs w:val="32"/>
        </w:rPr>
        <w:t>万元，完成预算的</w:t>
      </w:r>
      <w:r>
        <w:rPr>
          <w:rFonts w:hint="eastAsia" w:ascii="宋体" w:hAnsi="宋体" w:eastAsia="宋体" w:cs="宋体"/>
          <w:kern w:val="0"/>
          <w:sz w:val="32"/>
          <w:szCs w:val="32"/>
          <w:u w:val="single"/>
        </w:rPr>
        <w:t xml:space="preserve"> 95.45</w:t>
      </w:r>
      <w:r>
        <w:rPr>
          <w:rFonts w:hint="eastAsia" w:ascii="宋体" w:hAnsi="宋体" w:eastAsia="宋体" w:cs="宋体"/>
          <w:kern w:val="0"/>
          <w:sz w:val="32"/>
          <w:szCs w:val="32"/>
        </w:rPr>
        <w:t>%。2023年度一般公共预算财政拨款“三公”经费支出决算与预算</w:t>
      </w:r>
      <w:r>
        <w:rPr>
          <w:rFonts w:hint="eastAsia" w:ascii="宋体" w:hAnsi="宋体" w:eastAsia="宋体" w:cs="宋体"/>
          <w:color w:val="auto"/>
          <w:kern w:val="0"/>
          <w:sz w:val="32"/>
          <w:szCs w:val="32"/>
        </w:rPr>
        <w:t>差异原因</w:t>
      </w:r>
      <w:r>
        <w:rPr>
          <w:rFonts w:hint="eastAsia" w:ascii="宋体" w:hAnsi="宋体" w:eastAsia="宋体" w:cs="宋体"/>
          <w:color w:val="auto"/>
          <w:kern w:val="0"/>
          <w:sz w:val="32"/>
          <w:szCs w:val="32"/>
          <w:lang w:eastAsia="zh-CN"/>
        </w:rPr>
        <w:t>：</w:t>
      </w:r>
      <w:r>
        <w:rPr>
          <w:rFonts w:hint="eastAsia" w:ascii="宋体" w:hAnsi="宋体" w:eastAsia="宋体" w:cs="宋体"/>
          <w:kern w:val="0"/>
          <w:sz w:val="32"/>
          <w:szCs w:val="32"/>
          <w:lang w:val="en-US" w:eastAsia="zh-CN"/>
        </w:rPr>
        <w:t>厉行节约和反浪费原则减少不必要的公务接待活动</w:t>
      </w:r>
      <w:r>
        <w:rPr>
          <w:rFonts w:hint="eastAsia" w:ascii="宋体" w:hAnsi="宋体" w:eastAsia="宋体" w:cs="宋体"/>
          <w:kern w:val="0"/>
          <w:sz w:val="32"/>
          <w:szCs w:val="32"/>
        </w:rPr>
        <w:t>。</w:t>
      </w:r>
    </w:p>
    <w:p w14:paraId="3E35BDD1">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（二）财政拨款“三公”经费支出具体情况说明。</w:t>
      </w:r>
    </w:p>
    <w:p w14:paraId="6DD5F7F5">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2023年度财政拨款“三公”经费支出</w:t>
      </w:r>
      <w:r>
        <w:rPr>
          <w:rFonts w:hint="eastAsia" w:ascii="宋体" w:hAnsi="宋体" w:eastAsia="宋体" w:cs="宋体"/>
          <w:kern w:val="0"/>
          <w:sz w:val="32"/>
          <w:szCs w:val="32"/>
          <w:u w:val="single"/>
        </w:rPr>
        <w:t xml:space="preserve"> 2.45</w:t>
      </w:r>
      <w:r>
        <w:rPr>
          <w:rFonts w:hint="eastAsia" w:ascii="宋体" w:hAnsi="宋体" w:eastAsia="宋体" w:cs="宋体"/>
          <w:kern w:val="0"/>
          <w:sz w:val="32"/>
          <w:szCs w:val="32"/>
        </w:rPr>
        <w:t>万元。因公出国（境）费支出</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%；公务用车购置及运行维护费支出</w:t>
      </w:r>
      <w:r>
        <w:rPr>
          <w:rFonts w:hint="eastAsia" w:ascii="宋体" w:hAnsi="宋体" w:eastAsia="宋体" w:cs="宋体"/>
          <w:kern w:val="0"/>
          <w:sz w:val="32"/>
          <w:szCs w:val="32"/>
          <w:u w:val="single"/>
        </w:rPr>
        <w:t xml:space="preserve"> 1.40</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57.14</w:t>
      </w:r>
      <w:r>
        <w:rPr>
          <w:rFonts w:hint="eastAsia" w:ascii="宋体" w:hAnsi="宋体" w:eastAsia="宋体" w:cs="宋体"/>
          <w:kern w:val="0"/>
          <w:sz w:val="32"/>
          <w:szCs w:val="32"/>
        </w:rPr>
        <w:t>%；公务接待费支出</w:t>
      </w:r>
      <w:r>
        <w:rPr>
          <w:rFonts w:hint="eastAsia" w:ascii="宋体" w:hAnsi="宋体" w:eastAsia="宋体" w:cs="宋体"/>
          <w:kern w:val="0"/>
          <w:sz w:val="32"/>
          <w:szCs w:val="32"/>
          <w:u w:val="single"/>
        </w:rPr>
        <w:t xml:space="preserve"> 1.05</w:t>
      </w:r>
      <w:r>
        <w:rPr>
          <w:rFonts w:hint="eastAsia" w:ascii="宋体" w:hAnsi="宋体" w:eastAsia="宋体" w:cs="宋体"/>
          <w:kern w:val="0"/>
          <w:sz w:val="32"/>
          <w:szCs w:val="32"/>
        </w:rPr>
        <w:t>万元，占</w:t>
      </w:r>
      <w:r>
        <w:rPr>
          <w:rFonts w:hint="eastAsia" w:ascii="宋体" w:hAnsi="宋体" w:eastAsia="宋体" w:cs="宋体"/>
          <w:kern w:val="0"/>
          <w:sz w:val="32"/>
          <w:szCs w:val="32"/>
          <w:u w:val="single"/>
        </w:rPr>
        <w:t xml:space="preserve"> 42.86</w:t>
      </w:r>
      <w:r>
        <w:rPr>
          <w:rFonts w:hint="eastAsia" w:ascii="宋体" w:hAnsi="宋体" w:eastAsia="宋体" w:cs="宋体"/>
          <w:kern w:val="0"/>
          <w:sz w:val="32"/>
          <w:szCs w:val="32"/>
        </w:rPr>
        <w:t>%。其中：</w:t>
      </w:r>
    </w:p>
    <w:p w14:paraId="3C9CD663">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1.因公出国（境）费支出</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万元，全年出国（境）团组</w:t>
      </w:r>
      <w:r>
        <w:rPr>
          <w:rFonts w:hint="eastAsia" w:ascii="宋体" w:hAnsi="宋体" w:eastAsia="宋体" w:cs="宋体"/>
          <w:kern w:val="0"/>
          <w:sz w:val="32"/>
          <w:szCs w:val="32"/>
          <w:u w:val="single"/>
        </w:rPr>
        <w:t xml:space="preserve">0 </w:t>
      </w:r>
      <w:r>
        <w:rPr>
          <w:rFonts w:hint="eastAsia" w:ascii="宋体" w:hAnsi="宋体" w:eastAsia="宋体" w:cs="宋体"/>
          <w:kern w:val="0"/>
          <w:sz w:val="32"/>
          <w:szCs w:val="32"/>
        </w:rPr>
        <w:t>个，累计</w:t>
      </w:r>
      <w:r>
        <w:rPr>
          <w:rFonts w:hint="eastAsia" w:ascii="宋体" w:hAnsi="宋体" w:eastAsia="宋体" w:cs="宋体"/>
          <w:kern w:val="0"/>
          <w:sz w:val="32"/>
          <w:szCs w:val="32"/>
          <w:u w:val="single"/>
        </w:rPr>
        <w:t xml:space="preserve">0 </w:t>
      </w:r>
      <w:r>
        <w:rPr>
          <w:rFonts w:hint="eastAsia" w:ascii="宋体" w:hAnsi="宋体" w:eastAsia="宋体" w:cs="宋体"/>
          <w:kern w:val="0"/>
          <w:sz w:val="32"/>
          <w:szCs w:val="32"/>
        </w:rPr>
        <w:t>人次。与上年决算相比，增加（减少）</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万元，增长（减少）</w:t>
      </w:r>
      <w:r>
        <w:rPr>
          <w:rFonts w:hint="eastAsia" w:ascii="宋体" w:hAnsi="宋体" w:eastAsia="宋体" w:cs="宋体"/>
          <w:kern w:val="0"/>
          <w:sz w:val="32"/>
          <w:szCs w:val="32"/>
          <w:lang w:val="en-US" w:eastAsia="zh-CN"/>
        </w:rPr>
        <w:t>0</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不存在此项内容</w:t>
      </w:r>
      <w:r>
        <w:rPr>
          <w:rFonts w:hint="eastAsia" w:ascii="宋体" w:hAnsi="宋体" w:eastAsia="宋体" w:cs="宋体"/>
          <w:kern w:val="0"/>
          <w:sz w:val="32"/>
          <w:szCs w:val="32"/>
        </w:rPr>
        <w:t>。</w:t>
      </w:r>
    </w:p>
    <w:p w14:paraId="64E27E4E">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2.公务用车购置及运行维护费支出</w:t>
      </w:r>
      <w:r>
        <w:rPr>
          <w:rFonts w:hint="eastAsia" w:ascii="宋体" w:hAnsi="宋体" w:eastAsia="宋体" w:cs="宋体"/>
          <w:kern w:val="0"/>
          <w:sz w:val="32"/>
          <w:szCs w:val="32"/>
          <w:u w:val="single"/>
        </w:rPr>
        <w:t xml:space="preserve"> 1.40</w:t>
      </w:r>
      <w:r>
        <w:rPr>
          <w:rFonts w:hint="eastAsia" w:ascii="宋体" w:hAnsi="宋体" w:eastAsia="宋体" w:cs="宋体"/>
          <w:kern w:val="0"/>
          <w:sz w:val="32"/>
          <w:szCs w:val="32"/>
        </w:rPr>
        <w:t>万元。其中：</w:t>
      </w:r>
    </w:p>
    <w:p w14:paraId="379C7A06">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（1）公务用车购置支出</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万元。本年度使用财政拨款购置公务用车</w:t>
      </w:r>
      <w:r>
        <w:rPr>
          <w:rFonts w:hint="eastAsia" w:ascii="宋体" w:hAnsi="宋体" w:eastAsia="宋体" w:cs="宋体"/>
          <w:kern w:val="0"/>
          <w:sz w:val="32"/>
          <w:szCs w:val="32"/>
          <w:u w:val="single"/>
        </w:rPr>
        <w:t xml:space="preserve">0 </w:t>
      </w:r>
      <w:r>
        <w:rPr>
          <w:rFonts w:hint="eastAsia" w:ascii="宋体" w:hAnsi="宋体" w:eastAsia="宋体" w:cs="宋体"/>
          <w:kern w:val="0"/>
          <w:sz w:val="32"/>
          <w:szCs w:val="32"/>
        </w:rPr>
        <w:t>辆，开支内容：</w:t>
      </w:r>
      <w:r>
        <w:rPr>
          <w:rFonts w:hint="eastAsia" w:ascii="宋体" w:hAnsi="宋体" w:eastAsia="宋体" w:cs="宋体"/>
          <w:kern w:val="0"/>
          <w:sz w:val="32"/>
          <w:szCs w:val="32"/>
          <w:lang w:val="en-US" w:eastAsia="zh-CN"/>
        </w:rPr>
        <w:t>无</w:t>
      </w:r>
      <w:r>
        <w:rPr>
          <w:rFonts w:hint="eastAsia" w:ascii="宋体" w:hAnsi="宋体" w:eastAsia="宋体" w:cs="宋体"/>
          <w:kern w:val="0"/>
          <w:sz w:val="32"/>
          <w:szCs w:val="32"/>
        </w:rPr>
        <w:t>。与上年决算相比，增加（减少）</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万元，增长（减少）</w:t>
      </w:r>
      <w:r>
        <w:rPr>
          <w:rFonts w:hint="eastAsia" w:ascii="宋体" w:hAnsi="宋体" w:eastAsia="宋体" w:cs="宋体"/>
          <w:kern w:val="0"/>
          <w:sz w:val="32"/>
          <w:szCs w:val="32"/>
          <w:u w:val="single"/>
        </w:rPr>
        <w:t xml:space="preserve"> </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不存在此项内容</w:t>
      </w:r>
      <w:r>
        <w:rPr>
          <w:rFonts w:hint="eastAsia" w:ascii="宋体" w:hAnsi="宋体" w:eastAsia="宋体" w:cs="宋体"/>
          <w:kern w:val="0"/>
          <w:sz w:val="32"/>
          <w:szCs w:val="32"/>
        </w:rPr>
        <w:t>。</w:t>
      </w:r>
    </w:p>
    <w:p w14:paraId="256107EF">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（2）公务用车运行维护费支出</w:t>
      </w:r>
      <w:r>
        <w:rPr>
          <w:rFonts w:hint="eastAsia" w:ascii="宋体" w:hAnsi="宋体" w:eastAsia="宋体" w:cs="宋体"/>
          <w:kern w:val="0"/>
          <w:sz w:val="32"/>
          <w:szCs w:val="32"/>
          <w:u w:val="single"/>
        </w:rPr>
        <w:t xml:space="preserve"> 1.40</w:t>
      </w:r>
      <w:r>
        <w:rPr>
          <w:rFonts w:hint="eastAsia" w:ascii="宋体" w:hAnsi="宋体" w:eastAsia="宋体" w:cs="宋体"/>
          <w:kern w:val="0"/>
          <w:sz w:val="32"/>
          <w:szCs w:val="32"/>
        </w:rPr>
        <w:t>万元。公务用车运行维护费主要用于按规定保留的公务用车的燃料费、维修费、过桥过路费、保险费、安全奖励费用等支出。截至2023年12月31日，使用财政拨款开支的公务用车保有量为</w:t>
      </w:r>
      <w:r>
        <w:rPr>
          <w:rFonts w:hint="eastAsia" w:ascii="宋体" w:hAnsi="宋体" w:eastAsia="宋体" w:cs="宋体"/>
          <w:kern w:val="0"/>
          <w:sz w:val="32"/>
          <w:szCs w:val="32"/>
          <w:u w:val="single"/>
        </w:rPr>
        <w:t xml:space="preserve">1 </w:t>
      </w:r>
      <w:r>
        <w:rPr>
          <w:rFonts w:hint="eastAsia" w:ascii="宋体" w:hAnsi="宋体" w:eastAsia="宋体" w:cs="宋体"/>
          <w:kern w:val="0"/>
          <w:sz w:val="32"/>
          <w:szCs w:val="32"/>
        </w:rPr>
        <w:t>辆。与上年决算相比，减少</w:t>
      </w:r>
      <w:r>
        <w:rPr>
          <w:rFonts w:hint="eastAsia" w:ascii="宋体" w:hAnsi="宋体" w:eastAsia="宋体" w:cs="宋体"/>
          <w:kern w:val="0"/>
          <w:sz w:val="32"/>
          <w:szCs w:val="32"/>
          <w:u w:val="single"/>
        </w:rPr>
        <w:t xml:space="preserve"> -1.32</w:t>
      </w:r>
      <w:r>
        <w:rPr>
          <w:rFonts w:hint="eastAsia" w:ascii="宋体" w:hAnsi="宋体" w:eastAsia="宋体" w:cs="宋体"/>
          <w:kern w:val="0"/>
          <w:sz w:val="32"/>
          <w:szCs w:val="32"/>
        </w:rPr>
        <w:t>万元，减少</w:t>
      </w:r>
      <w:r>
        <w:rPr>
          <w:rFonts w:hint="eastAsia" w:ascii="宋体" w:hAnsi="宋体" w:eastAsia="宋体" w:cs="宋体"/>
          <w:kern w:val="0"/>
          <w:sz w:val="32"/>
          <w:szCs w:val="32"/>
          <w:u w:val="single"/>
        </w:rPr>
        <w:t xml:space="preserve"> -48.62</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因防疫工作结束根据车辆实际工作情况相应的减少燃料费与保险费支出</w:t>
      </w:r>
      <w:r>
        <w:rPr>
          <w:rFonts w:hint="eastAsia" w:ascii="宋体" w:hAnsi="宋体" w:eastAsia="宋体" w:cs="宋体"/>
          <w:kern w:val="0"/>
          <w:sz w:val="32"/>
          <w:szCs w:val="32"/>
        </w:rPr>
        <w:t>。</w:t>
      </w:r>
    </w:p>
    <w:p w14:paraId="6B0B6011">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3.公务接待费支出</w:t>
      </w:r>
      <w:r>
        <w:rPr>
          <w:rFonts w:hint="eastAsia" w:ascii="宋体" w:hAnsi="宋体" w:eastAsia="宋体" w:cs="宋体"/>
          <w:kern w:val="0"/>
          <w:sz w:val="32"/>
          <w:szCs w:val="32"/>
          <w:u w:val="single"/>
        </w:rPr>
        <w:t xml:space="preserve"> 1.05</w:t>
      </w:r>
      <w:r>
        <w:rPr>
          <w:rFonts w:hint="eastAsia" w:ascii="宋体" w:hAnsi="宋体" w:eastAsia="宋体" w:cs="宋体"/>
          <w:kern w:val="0"/>
          <w:sz w:val="32"/>
          <w:szCs w:val="32"/>
        </w:rPr>
        <w:t>万元。其中：国内公务接待支出</w:t>
      </w:r>
      <w:r>
        <w:rPr>
          <w:rFonts w:hint="eastAsia" w:ascii="宋体" w:hAnsi="宋体" w:eastAsia="宋体" w:cs="宋体"/>
          <w:kern w:val="0"/>
          <w:sz w:val="32"/>
          <w:szCs w:val="32"/>
          <w:u w:val="single"/>
        </w:rPr>
        <w:t xml:space="preserve"> 1.05</w:t>
      </w:r>
      <w:r>
        <w:rPr>
          <w:rFonts w:hint="eastAsia" w:ascii="宋体" w:hAnsi="宋体" w:eastAsia="宋体" w:cs="宋体"/>
          <w:kern w:val="0"/>
          <w:sz w:val="32"/>
          <w:szCs w:val="32"/>
        </w:rPr>
        <w:t>万元，接待</w:t>
      </w:r>
      <w:r>
        <w:rPr>
          <w:rFonts w:hint="eastAsia" w:ascii="宋体" w:hAnsi="宋体" w:eastAsia="宋体" w:cs="宋体"/>
          <w:kern w:val="0"/>
          <w:sz w:val="32"/>
          <w:szCs w:val="32"/>
          <w:u w:val="single"/>
        </w:rPr>
        <w:t xml:space="preserve">8 </w:t>
      </w:r>
      <w:r>
        <w:rPr>
          <w:rFonts w:hint="eastAsia" w:ascii="宋体" w:hAnsi="宋体" w:eastAsia="宋体" w:cs="宋体"/>
          <w:kern w:val="0"/>
          <w:sz w:val="32"/>
          <w:szCs w:val="32"/>
        </w:rPr>
        <w:t>批次，</w:t>
      </w:r>
      <w:r>
        <w:rPr>
          <w:rFonts w:hint="eastAsia" w:ascii="宋体" w:hAnsi="宋体" w:eastAsia="宋体" w:cs="宋体"/>
          <w:kern w:val="0"/>
          <w:sz w:val="32"/>
          <w:szCs w:val="32"/>
          <w:u w:val="single"/>
        </w:rPr>
        <w:t xml:space="preserve">88 </w:t>
      </w:r>
      <w:r>
        <w:rPr>
          <w:rFonts w:hint="eastAsia" w:ascii="宋体" w:hAnsi="宋体" w:eastAsia="宋体" w:cs="宋体"/>
          <w:kern w:val="0"/>
          <w:sz w:val="32"/>
          <w:szCs w:val="32"/>
        </w:rPr>
        <w:t>人次，开支内容：</w:t>
      </w:r>
      <w:r>
        <w:rPr>
          <w:rFonts w:hint="eastAsia" w:ascii="宋体" w:hAnsi="宋体" w:eastAsia="宋体" w:cs="宋体"/>
          <w:kern w:val="0"/>
          <w:sz w:val="32"/>
          <w:szCs w:val="32"/>
          <w:lang w:val="en-US" w:eastAsia="zh-CN"/>
        </w:rPr>
        <w:t>根据实际接待工作量为依据支出</w:t>
      </w:r>
      <w:r>
        <w:rPr>
          <w:rFonts w:hint="eastAsia" w:ascii="宋体" w:hAnsi="宋体" w:eastAsia="宋体" w:cs="宋体"/>
          <w:kern w:val="0"/>
          <w:sz w:val="32"/>
          <w:szCs w:val="32"/>
        </w:rPr>
        <w:t>；国（境）外公务接待支出</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万元，接待</w:t>
      </w:r>
      <w:r>
        <w:rPr>
          <w:rFonts w:hint="eastAsia" w:ascii="宋体" w:hAnsi="宋体" w:eastAsia="宋体" w:cs="宋体"/>
          <w:kern w:val="0"/>
          <w:sz w:val="32"/>
          <w:szCs w:val="32"/>
          <w:u w:val="single"/>
        </w:rPr>
        <w:t xml:space="preserve">0 </w:t>
      </w:r>
      <w:r>
        <w:rPr>
          <w:rFonts w:hint="eastAsia" w:ascii="宋体" w:hAnsi="宋体" w:eastAsia="宋体" w:cs="宋体"/>
          <w:kern w:val="0"/>
          <w:sz w:val="32"/>
          <w:szCs w:val="32"/>
        </w:rPr>
        <w:t>批次，</w:t>
      </w:r>
      <w:r>
        <w:rPr>
          <w:rFonts w:hint="eastAsia" w:ascii="宋体" w:hAnsi="宋体" w:eastAsia="宋体" w:cs="宋体"/>
          <w:kern w:val="0"/>
          <w:sz w:val="32"/>
          <w:szCs w:val="32"/>
          <w:u w:val="single"/>
        </w:rPr>
        <w:t xml:space="preserve">0 </w:t>
      </w:r>
      <w:r>
        <w:rPr>
          <w:rFonts w:hint="eastAsia" w:ascii="宋体" w:hAnsi="宋体" w:eastAsia="宋体" w:cs="宋体"/>
          <w:kern w:val="0"/>
          <w:sz w:val="32"/>
          <w:szCs w:val="32"/>
        </w:rPr>
        <w:t>人次，开支内容：</w:t>
      </w:r>
      <w:r>
        <w:rPr>
          <w:rFonts w:hint="eastAsia" w:ascii="宋体" w:hAnsi="宋体" w:eastAsia="宋体" w:cs="宋体"/>
          <w:kern w:val="0"/>
          <w:sz w:val="32"/>
          <w:szCs w:val="32"/>
          <w:lang w:val="en-US" w:eastAsia="zh-CN"/>
        </w:rPr>
        <w:t>无</w:t>
      </w:r>
      <w:r>
        <w:rPr>
          <w:rFonts w:hint="eastAsia" w:ascii="宋体" w:hAnsi="宋体" w:eastAsia="宋体" w:cs="宋体"/>
          <w:kern w:val="0"/>
          <w:sz w:val="32"/>
          <w:szCs w:val="32"/>
        </w:rPr>
        <w:t>。与上年决算相比，增加（减少）</w:t>
      </w:r>
      <w:r>
        <w:rPr>
          <w:rFonts w:hint="eastAsia" w:ascii="宋体" w:hAnsi="宋体" w:eastAsia="宋体" w:cs="宋体"/>
          <w:kern w:val="0"/>
          <w:sz w:val="32"/>
          <w:szCs w:val="32"/>
          <w:u w:val="single"/>
        </w:rPr>
        <w:t xml:space="preserve"> -0.01</w:t>
      </w:r>
      <w:r>
        <w:rPr>
          <w:rFonts w:hint="eastAsia" w:ascii="宋体" w:hAnsi="宋体" w:eastAsia="宋体" w:cs="宋体"/>
          <w:kern w:val="0"/>
          <w:sz w:val="32"/>
          <w:szCs w:val="32"/>
        </w:rPr>
        <w:t>万元，增长（减少）</w:t>
      </w:r>
      <w:r>
        <w:rPr>
          <w:rFonts w:hint="eastAsia" w:ascii="宋体" w:hAnsi="宋体" w:eastAsia="宋体" w:cs="宋体"/>
          <w:kern w:val="0"/>
          <w:sz w:val="32"/>
          <w:szCs w:val="32"/>
          <w:u w:val="single"/>
        </w:rPr>
        <w:t xml:space="preserve"> -0.66</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厉行节约和反浪费原则减少不必要的公务接待活动</w:t>
      </w:r>
      <w:r>
        <w:rPr>
          <w:rFonts w:hint="eastAsia" w:ascii="宋体" w:hAnsi="宋体" w:eastAsia="宋体" w:cs="宋体"/>
          <w:kern w:val="0"/>
          <w:sz w:val="32"/>
          <w:szCs w:val="32"/>
        </w:rPr>
        <w:t>。</w:t>
      </w:r>
    </w:p>
    <w:p w14:paraId="2010A4BE">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九、政府性基金预算财政拨款支出决算情况说明</w:t>
      </w:r>
    </w:p>
    <w:p w14:paraId="5642C150">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鄂温克族自治旗财政局（部门）2023年度政府性基金预算财政拨款支出决算</w:t>
      </w:r>
      <w:r>
        <w:rPr>
          <w:rFonts w:hint="eastAsia" w:ascii="宋体" w:hAnsi="宋体" w:eastAsia="宋体" w:cs="宋体"/>
          <w:kern w:val="0"/>
          <w:sz w:val="32"/>
          <w:szCs w:val="32"/>
          <w:u w:val="single"/>
        </w:rPr>
        <w:t>0.00</w:t>
      </w:r>
      <w:r>
        <w:rPr>
          <w:rFonts w:hint="eastAsia" w:ascii="宋体" w:hAnsi="宋体" w:eastAsia="宋体" w:cs="宋体"/>
          <w:kern w:val="0"/>
          <w:sz w:val="32"/>
          <w:szCs w:val="32"/>
        </w:rPr>
        <w:t>万元。与上年决算相比，增加（减少）</w:t>
      </w:r>
      <w:r>
        <w:rPr>
          <w:rFonts w:hint="eastAsia" w:ascii="宋体" w:hAnsi="宋体" w:eastAsia="宋体" w:cs="宋体"/>
          <w:kern w:val="0"/>
          <w:sz w:val="32"/>
          <w:szCs w:val="32"/>
          <w:u w:val="single"/>
        </w:rPr>
        <w:t>0</w:t>
      </w:r>
      <w:r>
        <w:rPr>
          <w:rFonts w:hint="eastAsia" w:ascii="宋体" w:hAnsi="宋体" w:eastAsia="宋体" w:cs="宋体"/>
          <w:kern w:val="0"/>
          <w:sz w:val="32"/>
          <w:szCs w:val="32"/>
        </w:rPr>
        <w:t>万元，增长（减少）</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%，变动原因：</w:t>
      </w:r>
      <w:r>
        <w:rPr>
          <w:rFonts w:hint="eastAsia" w:ascii="宋体" w:hAnsi="宋体" w:eastAsia="宋体" w:cs="宋体"/>
          <w:color w:val="000000" w:themeColor="text1"/>
          <w:kern w:val="0"/>
          <w:sz w:val="32"/>
          <w:szCs w:val="32"/>
          <w14:textFill>
            <w14:solidFill>
              <w14:schemeClr w14:val="tx1"/>
            </w14:solidFill>
          </w14:textFill>
        </w:rPr>
        <w:t>本年无政府性基金预算财政拨款收、支、余。</w:t>
      </w:r>
    </w:p>
    <w:p w14:paraId="1A2A02EB">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 xml:space="preserve"> 十、国有资本经营预算财政拨款支出决算情况说明</w:t>
      </w:r>
    </w:p>
    <w:p w14:paraId="30B0FAB9">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2023年度国有资本经营预算财政拨款支出决算</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万元。与上年决算相比，增加（减少）</w:t>
      </w:r>
      <w:r>
        <w:rPr>
          <w:rFonts w:hint="eastAsia" w:ascii="宋体" w:hAnsi="宋体" w:eastAsia="宋体" w:cs="宋体"/>
          <w:kern w:val="0"/>
          <w:sz w:val="32"/>
          <w:szCs w:val="32"/>
          <w:u w:val="single"/>
        </w:rPr>
        <w:t xml:space="preserve"> 0.0</w:t>
      </w:r>
      <w:r>
        <w:rPr>
          <w:rFonts w:hint="eastAsia" w:ascii="宋体" w:hAnsi="宋体" w:cs="宋体"/>
          <w:kern w:val="0"/>
          <w:sz w:val="32"/>
          <w:szCs w:val="32"/>
          <w:u w:val="single"/>
          <w:lang w:val="en-US" w:eastAsia="zh-CN"/>
        </w:rPr>
        <w:t>0</w:t>
      </w:r>
      <w:r>
        <w:rPr>
          <w:rFonts w:hint="eastAsia" w:ascii="宋体" w:hAnsi="宋体" w:eastAsia="宋体" w:cs="宋体"/>
          <w:kern w:val="0"/>
          <w:sz w:val="32"/>
          <w:szCs w:val="32"/>
        </w:rPr>
        <w:t>万元，增长（减少）</w:t>
      </w:r>
      <w:r>
        <w:rPr>
          <w:rFonts w:hint="eastAsia" w:ascii="宋体" w:hAnsi="宋体" w:eastAsia="宋体" w:cs="宋体"/>
          <w:kern w:val="0"/>
          <w:sz w:val="32"/>
          <w:szCs w:val="32"/>
          <w:u w:val="single"/>
        </w:rPr>
        <w:t xml:space="preserve"> </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%，变动原因：</w:t>
      </w:r>
      <w:r>
        <w:rPr>
          <w:rFonts w:hint="eastAsia" w:ascii="宋体" w:hAnsi="宋体" w:eastAsia="宋体" w:cs="宋体"/>
          <w:color w:val="000000" w:themeColor="text1"/>
          <w:kern w:val="0"/>
          <w:sz w:val="32"/>
          <w:szCs w:val="32"/>
          <w14:textFill>
            <w14:solidFill>
              <w14:schemeClr w14:val="tx1"/>
            </w14:solidFill>
          </w14:textFill>
        </w:rPr>
        <w:t>本年无国有资本经营预算财政拨款收、支、余。</w:t>
      </w:r>
    </w:p>
    <w:p w14:paraId="2A48DFE0">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十一、机构运行经费支出决算情况说明</w:t>
      </w:r>
    </w:p>
    <w:p w14:paraId="17EC38F0">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2023年度机构运行经费支出决算</w:t>
      </w:r>
      <w:r>
        <w:rPr>
          <w:rFonts w:hint="eastAsia" w:ascii="宋体" w:hAnsi="宋体" w:eastAsia="宋体" w:cs="宋体"/>
          <w:kern w:val="0"/>
          <w:sz w:val="32"/>
          <w:szCs w:val="32"/>
          <w:u w:val="single"/>
        </w:rPr>
        <w:t xml:space="preserve"> 963.56</w:t>
      </w:r>
      <w:r>
        <w:rPr>
          <w:rFonts w:hint="eastAsia" w:ascii="宋体" w:hAnsi="宋体" w:eastAsia="宋体" w:cs="宋体"/>
          <w:kern w:val="0"/>
          <w:sz w:val="32"/>
          <w:szCs w:val="32"/>
        </w:rPr>
        <w:t>万元。比上年决算相比，增加</w:t>
      </w:r>
      <w:r>
        <w:rPr>
          <w:rFonts w:hint="eastAsia" w:ascii="宋体" w:hAnsi="宋体" w:eastAsia="宋体" w:cs="宋体"/>
          <w:kern w:val="0"/>
          <w:sz w:val="32"/>
          <w:szCs w:val="32"/>
          <w:u w:val="single"/>
        </w:rPr>
        <w:t xml:space="preserve"> 624.10</w:t>
      </w:r>
      <w:r>
        <w:rPr>
          <w:rFonts w:hint="eastAsia" w:ascii="宋体" w:hAnsi="宋体" w:eastAsia="宋体" w:cs="宋体"/>
          <w:kern w:val="0"/>
          <w:sz w:val="32"/>
          <w:szCs w:val="32"/>
        </w:rPr>
        <w:t>万元，增长</w:t>
      </w:r>
      <w:r>
        <w:rPr>
          <w:rFonts w:hint="eastAsia" w:ascii="宋体" w:hAnsi="宋体" w:eastAsia="宋体" w:cs="宋体"/>
          <w:kern w:val="0"/>
          <w:sz w:val="32"/>
          <w:szCs w:val="32"/>
          <w:u w:val="single"/>
        </w:rPr>
        <w:t>183.85</w:t>
      </w:r>
      <w:r>
        <w:rPr>
          <w:rFonts w:hint="eastAsia" w:ascii="宋体" w:hAnsi="宋体" w:eastAsia="宋体" w:cs="宋体"/>
          <w:kern w:val="0"/>
          <w:sz w:val="32"/>
          <w:szCs w:val="32"/>
        </w:rPr>
        <w:t>%，变动原因：</w:t>
      </w:r>
      <w:r>
        <w:rPr>
          <w:rFonts w:hint="eastAsia" w:ascii="宋体" w:hAnsi="宋体" w:eastAsia="宋体" w:cs="宋体"/>
          <w:kern w:val="0"/>
          <w:sz w:val="32"/>
          <w:szCs w:val="32"/>
          <w:lang w:val="en-US" w:eastAsia="zh-CN"/>
        </w:rPr>
        <w:t>预算一体化服务费与造价评审服务费与上年相比有所增加</w:t>
      </w:r>
      <w:r>
        <w:rPr>
          <w:rFonts w:hint="eastAsia" w:ascii="宋体" w:hAnsi="宋体" w:eastAsia="宋体" w:cs="宋体"/>
          <w:kern w:val="0"/>
          <w:sz w:val="32"/>
          <w:szCs w:val="32"/>
        </w:rPr>
        <w:t>。</w:t>
      </w:r>
    </w:p>
    <w:p w14:paraId="367C1AD9">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十二、政府采购支出决算情况说明</w:t>
      </w:r>
    </w:p>
    <w:p w14:paraId="00B1A415">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鄂温克族自治旗财政局（部门）2023年度政府采购支出总额</w:t>
      </w:r>
      <w:r>
        <w:rPr>
          <w:rFonts w:hint="eastAsia" w:ascii="宋体" w:hAnsi="宋体" w:eastAsia="宋体" w:cs="宋体"/>
          <w:kern w:val="0"/>
          <w:sz w:val="32"/>
          <w:szCs w:val="32"/>
          <w:u w:val="single"/>
        </w:rPr>
        <w:t>0.00</w:t>
      </w:r>
      <w:r>
        <w:rPr>
          <w:rFonts w:hint="eastAsia" w:ascii="宋体" w:hAnsi="宋体" w:eastAsia="宋体" w:cs="宋体"/>
          <w:kern w:val="0"/>
          <w:sz w:val="32"/>
          <w:szCs w:val="32"/>
        </w:rPr>
        <w:t>万元，其中：政府采购货物支出</w:t>
      </w:r>
      <w:r>
        <w:rPr>
          <w:rFonts w:hint="eastAsia" w:ascii="宋体" w:hAnsi="宋体" w:eastAsia="宋体" w:cs="宋体"/>
          <w:kern w:val="0"/>
          <w:sz w:val="32"/>
          <w:szCs w:val="32"/>
          <w:u w:val="single"/>
        </w:rPr>
        <w:t>0.00</w:t>
      </w:r>
      <w:r>
        <w:rPr>
          <w:rFonts w:hint="eastAsia" w:ascii="宋体" w:hAnsi="宋体" w:eastAsia="宋体" w:cs="宋体"/>
          <w:kern w:val="0"/>
          <w:sz w:val="32"/>
          <w:szCs w:val="32"/>
        </w:rPr>
        <w:t>万元、政府采购工程支出</w:t>
      </w:r>
      <w:r>
        <w:rPr>
          <w:rFonts w:hint="eastAsia" w:ascii="宋体" w:hAnsi="宋体" w:eastAsia="宋体" w:cs="宋体"/>
          <w:kern w:val="0"/>
          <w:sz w:val="32"/>
          <w:szCs w:val="32"/>
          <w:u w:val="single"/>
        </w:rPr>
        <w:t>0.00</w:t>
      </w:r>
      <w:r>
        <w:rPr>
          <w:rFonts w:hint="eastAsia" w:ascii="宋体" w:hAnsi="宋体" w:eastAsia="宋体" w:cs="宋体"/>
          <w:kern w:val="0"/>
          <w:sz w:val="32"/>
          <w:szCs w:val="32"/>
        </w:rPr>
        <w:t>万元、政府采购服务支出</w:t>
      </w:r>
      <w:r>
        <w:rPr>
          <w:rFonts w:hint="eastAsia" w:ascii="宋体" w:hAnsi="宋体" w:eastAsia="宋体" w:cs="宋体"/>
          <w:kern w:val="0"/>
          <w:sz w:val="32"/>
          <w:szCs w:val="32"/>
          <w:u w:val="single"/>
        </w:rPr>
        <w:t>0.00</w:t>
      </w:r>
      <w:r>
        <w:rPr>
          <w:rFonts w:hint="eastAsia" w:ascii="宋体" w:hAnsi="宋体" w:eastAsia="宋体" w:cs="宋体"/>
          <w:kern w:val="0"/>
          <w:sz w:val="32"/>
          <w:szCs w:val="32"/>
        </w:rPr>
        <w:t>万元。政府采购授予中小企业合同金额</w:t>
      </w:r>
      <w:r>
        <w:rPr>
          <w:rFonts w:hint="eastAsia" w:ascii="宋体" w:hAnsi="宋体" w:eastAsia="宋体" w:cs="宋体"/>
          <w:kern w:val="0"/>
          <w:sz w:val="32"/>
          <w:szCs w:val="32"/>
          <w:u w:val="single"/>
        </w:rPr>
        <w:t xml:space="preserve"> 0.00</w:t>
      </w:r>
      <w:r>
        <w:rPr>
          <w:rFonts w:hint="eastAsia" w:ascii="宋体" w:hAnsi="宋体" w:eastAsia="宋体" w:cs="宋体"/>
          <w:kern w:val="0"/>
          <w:sz w:val="32"/>
          <w:szCs w:val="32"/>
        </w:rPr>
        <w:t>万元，占政府采购支出总额的</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%，其中：授予小微企业合同金额</w:t>
      </w:r>
      <w:r>
        <w:rPr>
          <w:rFonts w:hint="eastAsia" w:ascii="宋体" w:hAnsi="宋体" w:eastAsia="宋体" w:cs="宋体"/>
          <w:kern w:val="0"/>
          <w:sz w:val="32"/>
          <w:szCs w:val="32"/>
          <w:u w:val="single"/>
        </w:rPr>
        <w:t>0.00</w:t>
      </w:r>
      <w:r>
        <w:rPr>
          <w:rFonts w:hint="eastAsia" w:ascii="宋体" w:hAnsi="宋体" w:eastAsia="宋体" w:cs="宋体"/>
          <w:kern w:val="0"/>
          <w:sz w:val="32"/>
          <w:szCs w:val="32"/>
        </w:rPr>
        <w:t>万元，占政府采购支出总额的</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%；货物采购授予中小企业合同金额占货物支出金额的</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%，工程采购授予中小企业合同金额占工程支出金额的</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%，服务采购授予中小企业合同金额占服务支出金额的</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w:t>
      </w:r>
    </w:p>
    <w:p w14:paraId="59F9A7BA">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十三、国有资产占用情况说明</w:t>
      </w:r>
    </w:p>
    <w:p w14:paraId="333F9F3C">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鄂温克族自治旗财政局（部门）截至2023年12月31日，本部门（单位）共有车辆</w:t>
      </w:r>
      <w:r>
        <w:rPr>
          <w:rFonts w:hint="eastAsia" w:ascii="宋体" w:hAnsi="宋体" w:eastAsia="宋体" w:cs="宋体"/>
          <w:kern w:val="0"/>
          <w:sz w:val="32"/>
          <w:szCs w:val="32"/>
          <w:u w:val="single"/>
        </w:rPr>
        <w:t>1</w:t>
      </w:r>
      <w:r>
        <w:rPr>
          <w:rFonts w:hint="eastAsia" w:ascii="宋体" w:hAnsi="宋体" w:eastAsia="宋体" w:cs="宋体"/>
          <w:kern w:val="0"/>
          <w:sz w:val="32"/>
          <w:szCs w:val="32"/>
        </w:rPr>
        <w:t>辆，其中：副部（省）级及以上领导用车</w:t>
      </w:r>
      <w:r>
        <w:rPr>
          <w:rFonts w:hint="eastAsia" w:ascii="宋体" w:hAnsi="宋体" w:eastAsia="宋体" w:cs="宋体"/>
          <w:kern w:val="0"/>
          <w:sz w:val="32"/>
          <w:szCs w:val="32"/>
          <w:u w:val="single"/>
        </w:rPr>
        <w:t>0</w:t>
      </w:r>
      <w:r>
        <w:rPr>
          <w:rFonts w:hint="eastAsia" w:ascii="宋体" w:hAnsi="宋体" w:eastAsia="宋体" w:cs="宋体"/>
          <w:kern w:val="0"/>
          <w:sz w:val="32"/>
          <w:szCs w:val="32"/>
        </w:rPr>
        <w:t>辆、主要负责人用车</w:t>
      </w:r>
      <w:r>
        <w:rPr>
          <w:rFonts w:hint="eastAsia" w:ascii="宋体" w:hAnsi="宋体" w:eastAsia="宋体" w:cs="宋体"/>
          <w:kern w:val="0"/>
          <w:sz w:val="32"/>
          <w:szCs w:val="32"/>
          <w:u w:val="single"/>
        </w:rPr>
        <w:t>0</w:t>
      </w:r>
      <w:r>
        <w:rPr>
          <w:rFonts w:hint="eastAsia" w:ascii="宋体" w:hAnsi="宋体" w:eastAsia="宋体" w:cs="宋体"/>
          <w:kern w:val="0"/>
          <w:sz w:val="32"/>
          <w:szCs w:val="32"/>
        </w:rPr>
        <w:t>辆、机要通信用车</w:t>
      </w:r>
      <w:r>
        <w:rPr>
          <w:rFonts w:hint="eastAsia" w:ascii="宋体" w:hAnsi="宋体" w:eastAsia="宋体" w:cs="宋体"/>
          <w:kern w:val="0"/>
          <w:sz w:val="32"/>
          <w:szCs w:val="32"/>
          <w:u w:val="single"/>
        </w:rPr>
        <w:t>1</w:t>
      </w:r>
      <w:r>
        <w:rPr>
          <w:rFonts w:hint="eastAsia" w:ascii="宋体" w:hAnsi="宋体" w:eastAsia="宋体" w:cs="宋体"/>
          <w:kern w:val="0"/>
          <w:sz w:val="32"/>
          <w:szCs w:val="32"/>
        </w:rPr>
        <w:t>辆、应急保障用车</w:t>
      </w:r>
      <w:r>
        <w:rPr>
          <w:rFonts w:hint="eastAsia" w:ascii="宋体" w:hAnsi="宋体" w:eastAsia="宋体" w:cs="宋体"/>
          <w:kern w:val="0"/>
          <w:sz w:val="32"/>
          <w:szCs w:val="32"/>
          <w:u w:val="single"/>
        </w:rPr>
        <w:t>0</w:t>
      </w:r>
      <w:r>
        <w:rPr>
          <w:rFonts w:hint="eastAsia" w:ascii="宋体" w:hAnsi="宋体" w:eastAsia="宋体" w:cs="宋体"/>
          <w:kern w:val="0"/>
          <w:sz w:val="32"/>
          <w:szCs w:val="32"/>
        </w:rPr>
        <w:t>辆、执法执勤用车</w:t>
      </w:r>
      <w:r>
        <w:rPr>
          <w:rFonts w:hint="eastAsia" w:ascii="宋体" w:hAnsi="宋体" w:eastAsia="宋体" w:cs="宋体"/>
          <w:kern w:val="0"/>
          <w:sz w:val="32"/>
          <w:szCs w:val="32"/>
          <w:u w:val="single"/>
        </w:rPr>
        <w:t>0</w:t>
      </w:r>
      <w:r>
        <w:rPr>
          <w:rFonts w:hint="eastAsia" w:ascii="宋体" w:hAnsi="宋体" w:eastAsia="宋体" w:cs="宋体"/>
          <w:kern w:val="0"/>
          <w:sz w:val="32"/>
          <w:szCs w:val="32"/>
        </w:rPr>
        <w:t>辆、特种专业技术用车</w:t>
      </w:r>
      <w:r>
        <w:rPr>
          <w:rFonts w:hint="eastAsia" w:ascii="宋体" w:hAnsi="宋体" w:eastAsia="宋体" w:cs="宋体"/>
          <w:kern w:val="0"/>
          <w:sz w:val="32"/>
          <w:szCs w:val="32"/>
          <w:u w:val="single"/>
        </w:rPr>
        <w:t>0</w:t>
      </w:r>
      <w:r>
        <w:rPr>
          <w:rFonts w:hint="eastAsia" w:ascii="宋体" w:hAnsi="宋体" w:eastAsia="宋体" w:cs="宋体"/>
          <w:kern w:val="0"/>
          <w:sz w:val="32"/>
          <w:szCs w:val="32"/>
        </w:rPr>
        <w:t>辆、离退休干部服务用车</w:t>
      </w:r>
      <w:r>
        <w:rPr>
          <w:rFonts w:hint="eastAsia" w:ascii="宋体" w:hAnsi="宋体" w:eastAsia="宋体" w:cs="宋体"/>
          <w:kern w:val="0"/>
          <w:sz w:val="32"/>
          <w:szCs w:val="32"/>
          <w:u w:val="single"/>
        </w:rPr>
        <w:t>0</w:t>
      </w:r>
      <w:r>
        <w:rPr>
          <w:rFonts w:hint="eastAsia" w:ascii="宋体" w:hAnsi="宋体" w:eastAsia="宋体" w:cs="宋体"/>
          <w:kern w:val="0"/>
          <w:sz w:val="32"/>
          <w:szCs w:val="32"/>
        </w:rPr>
        <w:t>辆，其他用车</w:t>
      </w:r>
      <w:r>
        <w:rPr>
          <w:rFonts w:hint="eastAsia" w:ascii="宋体" w:hAnsi="宋体" w:eastAsia="宋体" w:cs="宋体"/>
          <w:kern w:val="0"/>
          <w:sz w:val="32"/>
          <w:szCs w:val="32"/>
          <w:u w:val="single"/>
        </w:rPr>
        <w:t>0</w:t>
      </w:r>
      <w:r>
        <w:rPr>
          <w:rFonts w:hint="eastAsia" w:ascii="宋体" w:hAnsi="宋体" w:eastAsia="宋体" w:cs="宋体"/>
          <w:kern w:val="0"/>
          <w:sz w:val="32"/>
          <w:szCs w:val="32"/>
        </w:rPr>
        <w:t>辆；单价100万元（含）以上的设备（不含车辆）</w:t>
      </w:r>
      <w:r>
        <w:rPr>
          <w:rFonts w:hint="eastAsia" w:ascii="宋体" w:hAnsi="宋体" w:eastAsia="宋体" w:cs="宋体"/>
          <w:kern w:val="0"/>
          <w:sz w:val="32"/>
          <w:szCs w:val="32"/>
          <w:u w:val="single"/>
        </w:rPr>
        <w:t>0</w:t>
      </w:r>
      <w:r>
        <w:rPr>
          <w:rFonts w:hint="eastAsia" w:ascii="宋体" w:hAnsi="宋体" w:eastAsia="宋体" w:cs="宋体"/>
          <w:kern w:val="0"/>
          <w:sz w:val="32"/>
          <w:szCs w:val="32"/>
        </w:rPr>
        <w:t>台（套）。</w:t>
      </w:r>
    </w:p>
    <w:p w14:paraId="22D6A66C">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十四、预算绩效情况说明</w:t>
      </w:r>
    </w:p>
    <w:p w14:paraId="177E03CE">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（一）预算绩效管理工作开展情况。</w:t>
      </w:r>
    </w:p>
    <w:p w14:paraId="0167DE17">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color w:val="000000" w:themeColor="text1"/>
          <w:kern w:val="0"/>
          <w:sz w:val="32"/>
          <w:szCs w:val="32"/>
          <w14:textFill>
            <w14:solidFill>
              <w14:schemeClr w14:val="tx1"/>
            </w14:solidFill>
          </w14:textFill>
        </w:rPr>
        <w:t>鄂温克族自治旗财政局（部门）根据预算绩效管理要求组织对2023年一般公共预算项目支出全面开展绩效自评，其中一级项目</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10</w:t>
      </w:r>
      <w:r>
        <w:rPr>
          <w:rFonts w:hint="eastAsia" w:ascii="宋体" w:hAnsi="宋体" w:eastAsia="宋体" w:cs="宋体"/>
          <w:color w:val="000000" w:themeColor="text1"/>
          <w:kern w:val="0"/>
          <w:sz w:val="32"/>
          <w:szCs w:val="32"/>
          <w14:textFill>
            <w14:solidFill>
              <w14:schemeClr w14:val="tx1"/>
            </w14:solidFill>
          </w14:textFill>
        </w:rPr>
        <w:t>个，二级项目</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w:t>
      </w:r>
      <w:r>
        <w:rPr>
          <w:rFonts w:hint="eastAsia" w:ascii="宋体" w:hAnsi="宋体" w:eastAsia="宋体" w:cs="宋体"/>
          <w:color w:val="000000" w:themeColor="text1"/>
          <w:kern w:val="0"/>
          <w:sz w:val="32"/>
          <w:szCs w:val="32"/>
          <w14:textFill>
            <w14:solidFill>
              <w14:schemeClr w14:val="tx1"/>
            </w14:solidFill>
          </w14:textFill>
        </w:rPr>
        <w:t>个，共涉及资金</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546.96</w:t>
      </w:r>
      <w:r>
        <w:rPr>
          <w:rFonts w:hint="eastAsia" w:ascii="宋体" w:hAnsi="宋体" w:eastAsia="宋体" w:cs="宋体"/>
          <w:color w:val="000000" w:themeColor="text1"/>
          <w:kern w:val="0"/>
          <w:sz w:val="32"/>
          <w:szCs w:val="32"/>
          <w14:textFill>
            <w14:solidFill>
              <w14:schemeClr w14:val="tx1"/>
            </w14:solidFill>
          </w14:textFill>
        </w:rPr>
        <w:t>万元，占一般公共预算项目支出总额的100%；政府性基金预算项目</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w:t>
      </w:r>
      <w:r>
        <w:rPr>
          <w:rFonts w:hint="eastAsia" w:ascii="宋体" w:hAnsi="宋体" w:eastAsia="宋体" w:cs="宋体"/>
          <w:color w:val="000000" w:themeColor="text1"/>
          <w:kern w:val="0"/>
          <w:sz w:val="32"/>
          <w:szCs w:val="32"/>
          <w14:textFill>
            <w14:solidFill>
              <w14:schemeClr w14:val="tx1"/>
            </w14:solidFill>
          </w14:textFill>
        </w:rPr>
        <w:t>个，其中，一级项目</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w:t>
      </w:r>
      <w:r>
        <w:rPr>
          <w:rFonts w:hint="eastAsia" w:ascii="宋体" w:hAnsi="宋体" w:eastAsia="宋体" w:cs="宋体"/>
          <w:color w:val="000000" w:themeColor="text1"/>
          <w:kern w:val="0"/>
          <w:sz w:val="32"/>
          <w:szCs w:val="32"/>
          <w14:textFill>
            <w14:solidFill>
              <w14:schemeClr w14:val="tx1"/>
            </w14:solidFill>
          </w14:textFill>
        </w:rPr>
        <w:t>个，二级项目</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w:t>
      </w:r>
      <w:r>
        <w:rPr>
          <w:rFonts w:hint="eastAsia" w:ascii="宋体" w:hAnsi="宋体" w:eastAsia="宋体" w:cs="宋体"/>
          <w:color w:val="000000" w:themeColor="text1"/>
          <w:kern w:val="0"/>
          <w:sz w:val="32"/>
          <w:szCs w:val="32"/>
          <w14:textFill>
            <w14:solidFill>
              <w14:schemeClr w14:val="tx1"/>
            </w14:solidFill>
          </w14:textFill>
        </w:rPr>
        <w:t>个，共涉及资金</w:t>
      </w:r>
      <w:r>
        <w:rPr>
          <w:rFonts w:hint="eastAsia" w:ascii="宋体" w:hAnsi="宋体" w:eastAsia="宋体" w:cs="宋体"/>
          <w:color w:val="000000" w:themeColor="text1"/>
          <w:kern w:val="0"/>
          <w:sz w:val="32"/>
          <w:szCs w:val="32"/>
          <w:u w:val="single"/>
          <w:lang w:val="en-US" w:eastAsia="zh-CN"/>
          <w14:textFill>
            <w14:solidFill>
              <w14:schemeClr w14:val="tx1"/>
            </w14:solidFill>
          </w14:textFill>
        </w:rPr>
        <w:t>0</w:t>
      </w:r>
      <w:r>
        <w:rPr>
          <w:rFonts w:hint="eastAsia" w:ascii="宋体" w:hAnsi="宋体" w:eastAsia="宋体" w:cs="宋体"/>
          <w:color w:val="000000" w:themeColor="text1"/>
          <w:kern w:val="0"/>
          <w:sz w:val="32"/>
          <w:szCs w:val="32"/>
          <w14:textFill>
            <w14:solidFill>
              <w14:schemeClr w14:val="tx1"/>
            </w14:solidFill>
          </w14:textFill>
        </w:rPr>
        <w:t>万元，占应纳入绩效自评的政府性基金预算项目支出总额的100%；</w:t>
      </w:r>
    </w:p>
    <w:p w14:paraId="6EF7B8AE">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（二）部门（单位）决算中项目绩效自评结果。</w:t>
      </w:r>
    </w:p>
    <w:p w14:paraId="4C04B746">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textAlignment w:val="auto"/>
        <w:rPr>
          <w:rFonts w:hint="eastAsia" w:ascii="宋体" w:hAnsi="宋体" w:eastAsia="宋体" w:cs="宋体"/>
          <w:kern w:val="0"/>
          <w:sz w:val="32"/>
          <w:szCs w:val="32"/>
        </w:rPr>
      </w:pPr>
      <w:r>
        <w:rPr>
          <w:rFonts w:hint="eastAsia" w:ascii="宋体" w:hAnsi="宋体" w:eastAsia="宋体" w:cs="宋体"/>
          <w:kern w:val="0"/>
          <w:sz w:val="32"/>
          <w:szCs w:val="32"/>
        </w:rPr>
        <w:t>鄂温克族自治旗财政局（部门） 2023年度在决算中反映</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个一般公共预算项目，以及</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个政府性基金项目，共</w:t>
      </w:r>
      <w:r>
        <w:rPr>
          <w:rFonts w:hint="eastAsia" w:ascii="宋体" w:hAnsi="宋体" w:eastAsia="宋体" w:cs="宋体"/>
          <w:kern w:val="0"/>
          <w:sz w:val="32"/>
          <w:szCs w:val="32"/>
          <w:u w:val="single"/>
          <w:lang w:val="en-US" w:eastAsia="zh-CN"/>
        </w:rPr>
        <w:t>0</w:t>
      </w:r>
      <w:r>
        <w:rPr>
          <w:rFonts w:hint="eastAsia" w:ascii="宋体" w:hAnsi="宋体" w:eastAsia="宋体" w:cs="宋体"/>
          <w:kern w:val="0"/>
          <w:sz w:val="32"/>
          <w:szCs w:val="32"/>
        </w:rPr>
        <w:t>个项目的绩效自评结果。</w:t>
      </w:r>
    </w:p>
    <w:p w14:paraId="198273B0">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（三）部门（单位）项目绩效评价结果。</w:t>
      </w:r>
    </w:p>
    <w:p w14:paraId="146CC6BB">
      <w:pPr>
        <w:keepNext w:val="0"/>
        <w:keepLines w:val="0"/>
        <w:pageBreakBefore w:val="0"/>
        <w:widowControl/>
        <w:kinsoku/>
        <w:wordWrap/>
        <w:overflowPunct/>
        <w:topLinePunct w:val="0"/>
        <w:autoSpaceDE/>
        <w:autoSpaceDN/>
        <w:bidi w:val="0"/>
        <w:adjustRightInd/>
        <w:snapToGrid/>
        <w:spacing w:line="240" w:lineRule="auto"/>
        <w:ind w:left="0" w:leftChars="0" w:firstLine="640" w:firstLineChars="20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本部门不涉及项目支出预算绩效。</w:t>
      </w:r>
    </w:p>
    <w:p w14:paraId="784C7FCD">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24"/>
        </w:rPr>
      </w:pPr>
    </w:p>
    <w:p w14:paraId="357C4B66">
      <w:pPr>
        <w:pStyle w:val="5"/>
        <w:keepNext w:val="0"/>
        <w:keepLines w:val="0"/>
        <w:pageBreakBefore w:val="0"/>
        <w:widowControl/>
        <w:kinsoku/>
        <w:wordWrap/>
        <w:overflowPunct/>
        <w:topLinePunct w:val="0"/>
        <w:autoSpaceDE/>
        <w:autoSpaceDN/>
        <w:bidi w:val="0"/>
        <w:spacing w:before="0" w:after="0" w:line="240" w:lineRule="auto"/>
        <w:ind w:left="0" w:leftChars="0"/>
        <w:jc w:val="center"/>
        <w:textAlignment w:val="auto"/>
        <w:rPr>
          <w:rFonts w:hint="eastAsia" w:ascii="宋体" w:hAnsi="宋体" w:eastAsia="宋体" w:cs="宋体"/>
          <w:b/>
          <w:bCs/>
          <w:kern w:val="0"/>
          <w:sz w:val="36"/>
          <w:szCs w:val="36"/>
        </w:rPr>
      </w:pPr>
      <w:r>
        <w:rPr>
          <w:rFonts w:hint="eastAsia" w:ascii="宋体" w:hAnsi="宋体" w:eastAsia="宋体" w:cs="宋体"/>
          <w:kern w:val="0"/>
          <w:sz w:val="36"/>
          <w:szCs w:val="36"/>
        </w:rPr>
        <w:t>第三部分  名词解释</w:t>
      </w:r>
    </w:p>
    <w:p w14:paraId="27BAEBF1">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一、财政拨款收入：</w:t>
      </w:r>
      <w:r>
        <w:rPr>
          <w:rFonts w:hint="eastAsia" w:ascii="宋体" w:hAnsi="宋体" w:eastAsia="宋体" w:cs="宋体"/>
          <w:kern w:val="0"/>
          <w:sz w:val="32"/>
          <w:szCs w:val="32"/>
        </w:rPr>
        <w:t>从同级财政部门取得的各类财政拨款，包括一般公共预算财政拨款、政府性基金预算财政拨款、国有资本经营预算财政拨款。</w:t>
      </w:r>
    </w:p>
    <w:p w14:paraId="6145374E">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二、上级补助收入：</w:t>
      </w:r>
      <w:r>
        <w:rPr>
          <w:rFonts w:hint="eastAsia" w:ascii="宋体" w:hAnsi="宋体" w:eastAsia="宋体" w:cs="宋体"/>
          <w:kern w:val="0"/>
          <w:sz w:val="32"/>
          <w:szCs w:val="32"/>
        </w:rPr>
        <w:t>指事业单位从主管部门和上级单位取得的非财政补助收入。</w:t>
      </w:r>
    </w:p>
    <w:p w14:paraId="5FE7F92D">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三、财政专户管理教育收费：</w:t>
      </w:r>
      <w:r>
        <w:rPr>
          <w:rFonts w:hint="eastAsia" w:ascii="宋体" w:hAnsi="宋体" w:eastAsia="宋体" w:cs="宋体"/>
          <w:kern w:val="0"/>
          <w:sz w:val="32"/>
          <w:szCs w:val="32"/>
        </w:rPr>
        <w:t>指缴入财政专户、实行专项管理的高中以上学费、住宿费、高校委托培养费、函大、电大、夜大及短训班培训费等教育收费。</w:t>
      </w:r>
    </w:p>
    <w:p w14:paraId="191A5FB1">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四、事业收入：</w:t>
      </w:r>
      <w:r>
        <w:rPr>
          <w:rFonts w:hint="eastAsia" w:ascii="宋体" w:hAnsi="宋体" w:eastAsia="宋体" w:cs="宋体"/>
          <w:kern w:val="0"/>
          <w:sz w:val="32"/>
          <w:szCs w:val="32"/>
        </w:rPr>
        <w:t>指事业单位开展专业业务活动及其辅助活动取得的收入。</w:t>
      </w:r>
    </w:p>
    <w:p w14:paraId="7F45AF60">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五、经营收入：</w:t>
      </w:r>
      <w:r>
        <w:rPr>
          <w:rFonts w:hint="eastAsia" w:ascii="宋体" w:hAnsi="宋体" w:eastAsia="宋体" w:cs="宋体"/>
          <w:kern w:val="0"/>
          <w:sz w:val="32"/>
          <w:szCs w:val="32"/>
        </w:rPr>
        <w:t>指事业单位在专业业务活动及其辅助活动之外开展非独立核算经营活动取得的收入。</w:t>
      </w:r>
    </w:p>
    <w:p w14:paraId="025AEED7">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六、附属单位上缴收入：</w:t>
      </w:r>
      <w:r>
        <w:rPr>
          <w:rFonts w:hint="eastAsia" w:ascii="宋体" w:hAnsi="宋体" w:eastAsia="宋体" w:cs="宋体"/>
          <w:kern w:val="0"/>
          <w:sz w:val="32"/>
          <w:szCs w:val="32"/>
        </w:rPr>
        <w:t>指事业单位取得附属独立核算单位按照有关规定上缴的收入。</w:t>
      </w:r>
    </w:p>
    <w:p w14:paraId="790A46FA">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七、其他收入：</w:t>
      </w:r>
      <w:r>
        <w:rPr>
          <w:rFonts w:hint="eastAsia" w:ascii="宋体" w:hAnsi="宋体" w:eastAsia="宋体" w:cs="宋体"/>
          <w:kern w:val="0"/>
          <w:sz w:val="32"/>
          <w:szCs w:val="32"/>
        </w:rPr>
        <w:t>取得的除上述“财政拨款收入</w:t>
      </w:r>
      <w:r>
        <w:rPr>
          <w:rFonts w:hint="eastAsia" w:ascii="宋体" w:hAnsi="宋体" w:cs="宋体"/>
          <w:kern w:val="0"/>
          <w:sz w:val="32"/>
          <w:szCs w:val="32"/>
          <w:lang w:eastAsia="zh-CN"/>
        </w:rPr>
        <w:t>”“</w:t>
      </w:r>
      <w:r>
        <w:rPr>
          <w:rFonts w:hint="eastAsia" w:ascii="宋体" w:hAnsi="宋体" w:eastAsia="宋体" w:cs="宋体"/>
          <w:kern w:val="0"/>
          <w:sz w:val="32"/>
          <w:szCs w:val="32"/>
        </w:rPr>
        <w:t>上级补助收入</w:t>
      </w:r>
      <w:r>
        <w:rPr>
          <w:rFonts w:hint="eastAsia" w:ascii="宋体" w:hAnsi="宋体" w:cs="宋体"/>
          <w:kern w:val="0"/>
          <w:sz w:val="32"/>
          <w:szCs w:val="32"/>
          <w:lang w:eastAsia="zh-CN"/>
        </w:rPr>
        <w:t>”“</w:t>
      </w:r>
      <w:r>
        <w:rPr>
          <w:rFonts w:hint="eastAsia" w:ascii="宋体" w:hAnsi="宋体" w:eastAsia="宋体" w:cs="宋体"/>
          <w:kern w:val="0"/>
          <w:sz w:val="32"/>
          <w:szCs w:val="32"/>
        </w:rPr>
        <w:t>事业收入</w:t>
      </w:r>
      <w:r>
        <w:rPr>
          <w:rFonts w:hint="eastAsia" w:ascii="宋体" w:hAnsi="宋体" w:cs="宋体"/>
          <w:kern w:val="0"/>
          <w:sz w:val="32"/>
          <w:szCs w:val="32"/>
          <w:lang w:eastAsia="zh-CN"/>
        </w:rPr>
        <w:t>”“</w:t>
      </w:r>
      <w:r>
        <w:rPr>
          <w:rFonts w:hint="eastAsia" w:ascii="宋体" w:hAnsi="宋体" w:eastAsia="宋体" w:cs="宋体"/>
          <w:kern w:val="0"/>
          <w:sz w:val="32"/>
          <w:szCs w:val="32"/>
        </w:rPr>
        <w:t>经营收入</w:t>
      </w:r>
      <w:r>
        <w:rPr>
          <w:rFonts w:hint="eastAsia" w:ascii="宋体" w:hAnsi="宋体" w:cs="宋体"/>
          <w:kern w:val="0"/>
          <w:sz w:val="32"/>
          <w:szCs w:val="32"/>
          <w:lang w:eastAsia="zh-CN"/>
        </w:rPr>
        <w:t>”“</w:t>
      </w:r>
      <w:r>
        <w:rPr>
          <w:rFonts w:hint="eastAsia" w:ascii="宋体" w:hAnsi="宋体" w:eastAsia="宋体" w:cs="宋体"/>
          <w:kern w:val="0"/>
          <w:sz w:val="32"/>
          <w:szCs w:val="32"/>
        </w:rPr>
        <w:t>附属单位上缴收入”等以外的各项收入。</w:t>
      </w:r>
    </w:p>
    <w:p w14:paraId="332AE118">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八、使用非财政拨款结余和专用结余：</w:t>
      </w:r>
      <w:r>
        <w:rPr>
          <w:rFonts w:hint="eastAsia" w:ascii="宋体" w:hAnsi="宋体" w:eastAsia="宋体" w:cs="宋体"/>
          <w:kern w:val="0"/>
          <w:sz w:val="32"/>
          <w:szCs w:val="32"/>
        </w:rPr>
        <w:t>指事业单位按照预算管理要求使用非财政拨款结余和专用结余弥补当年收支差额的数额。</w:t>
      </w:r>
    </w:p>
    <w:p w14:paraId="68E43815">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九、年初结转和结余：</w:t>
      </w:r>
      <w:r>
        <w:rPr>
          <w:rFonts w:hint="eastAsia" w:ascii="宋体" w:hAnsi="宋体" w:eastAsia="宋体" w:cs="宋体"/>
          <w:kern w:val="0"/>
          <w:sz w:val="32"/>
          <w:szCs w:val="32"/>
        </w:rPr>
        <w:t>指单位上年结转本年使用的基本支出结转、项目支出结转和结余、经营结余。</w:t>
      </w:r>
    </w:p>
    <w:p w14:paraId="731036AD">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十、结余分配：</w:t>
      </w:r>
      <w:r>
        <w:rPr>
          <w:rFonts w:hint="eastAsia" w:ascii="宋体" w:hAnsi="宋体" w:eastAsia="宋体" w:cs="宋体"/>
          <w:kern w:val="0"/>
          <w:sz w:val="32"/>
          <w:szCs w:val="32"/>
        </w:rPr>
        <w:t>指事业单位按规定缴纳企业所得税以及从非财政拨款结余或经营结余中提取各类结余的情况。</w:t>
      </w:r>
    </w:p>
    <w:p w14:paraId="006963BA">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十一、年末结转和结余资金：</w:t>
      </w:r>
      <w:r>
        <w:rPr>
          <w:rFonts w:hint="eastAsia" w:ascii="宋体" w:hAnsi="宋体" w:eastAsia="宋体" w:cs="宋体"/>
          <w:kern w:val="0"/>
          <w:sz w:val="32"/>
          <w:szCs w:val="32"/>
        </w:rPr>
        <w:t>指单位结转下年的基本支出结转、项目支出结转和结余、经营结余。</w:t>
      </w:r>
    </w:p>
    <w:p w14:paraId="7EF46E89">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十二、基本支出：</w:t>
      </w:r>
      <w:r>
        <w:rPr>
          <w:rFonts w:hint="eastAsia" w:ascii="宋体" w:hAnsi="宋体" w:eastAsia="宋体" w:cs="宋体"/>
          <w:kern w:val="0"/>
          <w:sz w:val="32"/>
          <w:szCs w:val="32"/>
        </w:rPr>
        <w:t>指为保障机构正常运转、完成日常工作任务所发生的支出，包括人员经费和公用经费。</w:t>
      </w:r>
    </w:p>
    <w:p w14:paraId="5F94E988">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十三、项目支出：</w:t>
      </w:r>
      <w:r>
        <w:rPr>
          <w:rFonts w:hint="eastAsia" w:ascii="宋体" w:hAnsi="宋体" w:eastAsia="宋体" w:cs="宋体"/>
          <w:kern w:val="0"/>
          <w:sz w:val="32"/>
          <w:szCs w:val="32"/>
        </w:rPr>
        <w:t>指在为完成特定的工作任务和事业发展目标所发生的支出。</w:t>
      </w:r>
    </w:p>
    <w:p w14:paraId="5A88B8A5">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十四、上缴上级支出：</w:t>
      </w:r>
      <w:r>
        <w:rPr>
          <w:rFonts w:hint="eastAsia" w:ascii="宋体" w:hAnsi="宋体" w:eastAsia="宋体" w:cs="宋体"/>
          <w:kern w:val="0"/>
          <w:sz w:val="32"/>
          <w:szCs w:val="32"/>
        </w:rPr>
        <w:t>指事业单位按照财政部门和主管部门的规定上缴上级单位的支出。</w:t>
      </w:r>
    </w:p>
    <w:p w14:paraId="37D95832">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十五、经营支出：</w:t>
      </w:r>
      <w:r>
        <w:rPr>
          <w:rFonts w:hint="eastAsia" w:ascii="宋体" w:hAnsi="宋体" w:eastAsia="宋体" w:cs="宋体"/>
          <w:kern w:val="0"/>
          <w:sz w:val="32"/>
          <w:szCs w:val="32"/>
        </w:rPr>
        <w:t>指事业单位在专业业务活动及其辅助活动之外开展非独立核算经营活动发生的支出。</w:t>
      </w:r>
    </w:p>
    <w:p w14:paraId="51EF717E">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十六、对附属单位补助支出：</w:t>
      </w:r>
      <w:r>
        <w:rPr>
          <w:rFonts w:hint="eastAsia" w:ascii="宋体" w:hAnsi="宋体" w:eastAsia="宋体" w:cs="宋体"/>
          <w:kern w:val="0"/>
          <w:sz w:val="32"/>
          <w:szCs w:val="32"/>
        </w:rPr>
        <w:t>指事业单位用财政拨款收入之外的收入对附属单位补助发生的支出。</w:t>
      </w:r>
    </w:p>
    <w:p w14:paraId="69184463">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十七、“三公”经费：</w:t>
      </w:r>
      <w:r>
        <w:rPr>
          <w:rFonts w:hint="eastAsia" w:ascii="宋体" w:hAnsi="宋体" w:eastAsia="宋体" w:cs="宋体"/>
          <w:kern w:val="0"/>
          <w:sz w:val="32"/>
          <w:szCs w:val="32"/>
        </w:rPr>
        <w:t>指部门（单位</w:t>
      </w:r>
      <w:r>
        <w:rPr>
          <w:rFonts w:hint="eastAsia" w:ascii="宋体" w:hAnsi="宋体" w:cs="宋体"/>
          <w:kern w:val="0"/>
          <w:sz w:val="32"/>
          <w:szCs w:val="32"/>
          <w:lang w:eastAsia="zh-CN"/>
        </w:rPr>
        <w:t>）使</w:t>
      </w:r>
      <w:r>
        <w:rPr>
          <w:rFonts w:hint="eastAsia" w:ascii="宋体" w:hAnsi="宋体" w:eastAsia="宋体" w:cs="宋体"/>
          <w:kern w:val="0"/>
          <w:sz w:val="32"/>
          <w:szCs w:val="32"/>
        </w:rPr>
        <w:t>用财政拨款安排的因公出国（境）费、公务用车购置及运行维护费和公务接待费。其中，因公出国（境）费反映部门（单位）</w:t>
      </w:r>
      <w:bookmarkStart w:id="1" w:name="_GoBack"/>
      <w:bookmarkEnd w:id="1"/>
      <w:r>
        <w:rPr>
          <w:rFonts w:hint="eastAsia" w:ascii="宋体" w:hAnsi="宋体" w:eastAsia="宋体" w:cs="宋体"/>
          <w:kern w:val="0"/>
          <w:sz w:val="32"/>
          <w:szCs w:val="32"/>
        </w:rPr>
        <w:t>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14:paraId="312092D3">
      <w:pPr>
        <w:keepNext w:val="0"/>
        <w:keepLines w:val="0"/>
        <w:pageBreakBefore w:val="0"/>
        <w:widowControl/>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宋体" w:hAnsi="宋体" w:eastAsia="宋体" w:cs="宋体"/>
          <w:kern w:val="0"/>
          <w:sz w:val="32"/>
          <w:szCs w:val="32"/>
        </w:rPr>
      </w:pPr>
      <w:r>
        <w:rPr>
          <w:rFonts w:hint="eastAsia" w:ascii="宋体" w:hAnsi="宋体" w:eastAsia="宋体" w:cs="宋体"/>
          <w:b/>
          <w:bCs/>
          <w:kern w:val="0"/>
          <w:sz w:val="32"/>
          <w:szCs w:val="32"/>
        </w:rPr>
        <w:t>十八、机构运行经费：</w:t>
      </w:r>
      <w:r>
        <w:rPr>
          <w:rFonts w:hint="eastAsia" w:ascii="宋体" w:hAnsi="宋体" w:eastAsia="宋体" w:cs="宋体"/>
          <w:kern w:val="0"/>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0F38074F">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24"/>
        </w:rPr>
      </w:pPr>
    </w:p>
    <w:p w14:paraId="2839983C">
      <w:pPr>
        <w:pStyle w:val="5"/>
        <w:keepNext w:val="0"/>
        <w:keepLines w:val="0"/>
        <w:pageBreakBefore w:val="0"/>
        <w:widowControl/>
        <w:kinsoku/>
        <w:wordWrap/>
        <w:overflowPunct/>
        <w:topLinePunct w:val="0"/>
        <w:autoSpaceDE/>
        <w:autoSpaceDN/>
        <w:bidi w:val="0"/>
        <w:spacing w:before="0" w:after="0" w:line="240" w:lineRule="auto"/>
        <w:ind w:left="0" w:leftChars="0"/>
        <w:jc w:val="center"/>
        <w:textAlignment w:val="auto"/>
        <w:rPr>
          <w:rFonts w:hint="eastAsia" w:ascii="宋体" w:hAnsi="宋体" w:eastAsia="宋体" w:cs="宋体"/>
          <w:b/>
          <w:bCs/>
          <w:kern w:val="0"/>
          <w:sz w:val="36"/>
          <w:szCs w:val="36"/>
        </w:rPr>
      </w:pPr>
      <w:r>
        <w:rPr>
          <w:rFonts w:hint="eastAsia" w:ascii="宋体" w:hAnsi="宋体" w:eastAsia="宋体" w:cs="宋体"/>
          <w:kern w:val="0"/>
          <w:sz w:val="36"/>
          <w:szCs w:val="36"/>
        </w:rPr>
        <w:t>第四部分 决算公开联系方式及信息反馈渠道</w:t>
      </w:r>
    </w:p>
    <w:p w14:paraId="0A75AF7D">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24"/>
        </w:rPr>
      </w:pPr>
    </w:p>
    <w:p w14:paraId="0BF711D5">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kern w:val="0"/>
          <w:sz w:val="27"/>
          <w:szCs w:val="27"/>
        </w:rPr>
        <w:t xml:space="preserve">  </w:t>
      </w:r>
      <w:r>
        <w:rPr>
          <w:rFonts w:hint="eastAsia" w:ascii="宋体" w:hAnsi="宋体" w:eastAsia="宋体" w:cs="宋体"/>
          <w:kern w:val="0"/>
          <w:sz w:val="32"/>
          <w:szCs w:val="32"/>
        </w:rPr>
        <w:t>  本单位决算公开信息反馈和联系方式：</w:t>
      </w:r>
    </w:p>
    <w:p w14:paraId="3B494C6E">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32"/>
          <w:szCs w:val="32"/>
        </w:rPr>
      </w:pPr>
      <w:r>
        <w:rPr>
          <w:rFonts w:hint="eastAsia" w:ascii="宋体" w:hAnsi="宋体" w:eastAsia="宋体" w:cs="宋体"/>
          <w:kern w:val="0"/>
          <w:sz w:val="32"/>
          <w:szCs w:val="32"/>
        </w:rPr>
        <w:t>    联系人：</w:t>
      </w:r>
      <w:r>
        <w:rPr>
          <w:rFonts w:hint="eastAsia" w:ascii="宋体" w:hAnsi="宋体" w:eastAsia="宋体" w:cs="宋体"/>
          <w:kern w:val="0"/>
          <w:sz w:val="32"/>
          <w:szCs w:val="32"/>
          <w:u w:val="single"/>
        </w:rPr>
        <w:t xml:space="preserve">徐月霞 </w:t>
      </w:r>
      <w:r>
        <w:rPr>
          <w:rFonts w:hint="eastAsia" w:ascii="宋体" w:hAnsi="宋体" w:eastAsia="宋体" w:cs="宋体"/>
          <w:kern w:val="0"/>
          <w:sz w:val="32"/>
          <w:szCs w:val="32"/>
        </w:rPr>
        <w:t>        联系电话：0470-8819903 </w:t>
      </w:r>
    </w:p>
    <w:p w14:paraId="158F53C6">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24"/>
        </w:rPr>
      </w:pPr>
    </w:p>
    <w:p w14:paraId="7C668C8D">
      <w:pPr>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kern w:val="0"/>
          <w:sz w:val="24"/>
        </w:rPr>
      </w:pPr>
      <w:r>
        <w:rPr>
          <w:rFonts w:hint="eastAsia" w:ascii="宋体" w:hAnsi="宋体" w:eastAsia="宋体" w:cs="宋体"/>
          <w:b/>
          <w:bCs/>
          <w:kern w:val="0"/>
          <w:sz w:val="36"/>
          <w:szCs w:val="36"/>
        </w:rPr>
        <w:t>第五部分 部门（单位）决算表</w:t>
      </w:r>
    </w:p>
    <w:p w14:paraId="438DC161">
      <w:pPr>
        <w:pageBreakBefore w:val="0"/>
        <w:widowControl/>
        <w:kinsoku/>
        <w:wordWrap/>
        <w:overflowPunct/>
        <w:topLinePunct w:val="0"/>
        <w:autoSpaceDE/>
        <w:autoSpaceDN/>
        <w:bidi w:val="0"/>
        <w:spacing w:line="240" w:lineRule="auto"/>
        <w:ind w:left="0" w:leftChars="0"/>
        <w:jc w:val="center"/>
        <w:textAlignment w:val="auto"/>
        <w:rPr>
          <w:rFonts w:hint="eastAsia" w:ascii="宋体" w:hAnsi="宋体" w:eastAsia="宋体" w:cs="宋体"/>
          <w:kern w:val="0"/>
          <w:sz w:val="24"/>
        </w:rPr>
      </w:pPr>
    </w:p>
    <w:p w14:paraId="03D92A37">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24"/>
        </w:rPr>
      </w:pPr>
      <w:r>
        <w:rPr>
          <w:rFonts w:hint="eastAsia" w:ascii="宋体" w:hAnsi="宋体" w:eastAsia="宋体" w:cs="宋体"/>
          <w:kern w:val="0"/>
          <w:sz w:val="27"/>
          <w:szCs w:val="27"/>
        </w:rPr>
        <w:t>    见附件。</w:t>
      </w:r>
    </w:p>
    <w:p w14:paraId="05385B91">
      <w:pPr>
        <w:pageBreakBefore w:val="0"/>
        <w:widowControl/>
        <w:kinsoku/>
        <w:wordWrap/>
        <w:overflowPunct/>
        <w:topLinePunct w:val="0"/>
        <w:autoSpaceDE/>
        <w:autoSpaceDN/>
        <w:bidi w:val="0"/>
        <w:spacing w:line="240" w:lineRule="auto"/>
        <w:ind w:left="0" w:leftChars="0"/>
        <w:jc w:val="left"/>
        <w:textAlignment w:val="auto"/>
        <w:rPr>
          <w:rFonts w:hint="eastAsia" w:ascii="宋体" w:hAnsi="宋体" w:eastAsia="宋体" w:cs="宋体"/>
          <w:kern w:val="0"/>
          <w:sz w:val="24"/>
        </w:rPr>
      </w:pPr>
    </w:p>
    <w:bookmarkEnd w:id="0"/>
    <w:p w14:paraId="19A992FF">
      <w:pPr>
        <w:pageBreakBefore w:val="0"/>
        <w:tabs>
          <w:tab w:val="left" w:pos="8415"/>
        </w:tabs>
        <w:kinsoku/>
        <w:wordWrap/>
        <w:overflowPunct/>
        <w:topLinePunct w:val="0"/>
        <w:autoSpaceDE/>
        <w:autoSpaceDN/>
        <w:bidi w:val="0"/>
        <w:spacing w:line="240" w:lineRule="auto"/>
        <w:ind w:left="0" w:leftChars="0"/>
        <w:textAlignment w:val="auto"/>
        <w:rPr>
          <w:rFonts w:hint="eastAsia" w:ascii="宋体" w:hAnsi="宋体" w:eastAsia="宋体" w:cs="宋体"/>
        </w:rPr>
      </w:pPr>
    </w:p>
    <w:sectPr>
      <w:footerReference r:id="rId4" w:type="default"/>
      <w:pgSz w:w="11906" w:h="16838"/>
      <w:pgMar w:top="1134" w:right="1134" w:bottom="1134" w:left="1134" w:header="0" w:footer="720"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F03A8">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1</w:t>
    </w:r>
    <w:r>
      <w:rPr>
        <w:rFonts w:ascii="宋体" w:hAnsi="宋体" w:eastAsia="宋体" w:cs="宋体"/>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4B533">
    <w:pPr>
      <w:pStyle w:val="14"/>
      <w:jc w:val="center"/>
    </w:pPr>
    <w:r>
      <w:fldChar w:fldCharType="begin"/>
    </w:r>
    <w:r>
      <w:instrText xml:space="preserve"> PAGE   \* MERGEFORMAT </w:instrText>
    </w:r>
    <w:r>
      <w:fldChar w:fldCharType="separate"/>
    </w:r>
    <w:r>
      <w:rPr>
        <w:lang w:val="zh-CN"/>
      </w:rPr>
      <w:t>23</w:t>
    </w:r>
    <w:r>
      <w:rPr>
        <w:lang w:val="zh-CN"/>
      </w:rPr>
      <w:fldChar w:fldCharType="end"/>
    </w:r>
  </w:p>
  <w:p w14:paraId="5F0DDC2A">
    <w:pPr>
      <w:pStyle w:val="1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37096F"/>
    <w:multiLevelType w:val="singleLevel"/>
    <w:tmpl w:val="F937096F"/>
    <w:lvl w:ilvl="0" w:tentative="0">
      <w:start w:val="5"/>
      <w:numFmt w:val="chineseCounting"/>
      <w:suff w:val="nothing"/>
      <w:lvlText w:val="%1、"/>
      <w:lvlJc w:val="left"/>
      <w:pPr>
        <w:ind w:left="963" w:leftChars="0" w:firstLine="0" w:firstLineChars="0"/>
      </w:pPr>
      <w:rPr>
        <w:rFonts w:hint="eastAsia"/>
      </w:rPr>
    </w:lvl>
  </w:abstractNum>
  <w:abstractNum w:abstractNumId="1">
    <w:nsid w:val="15210A1E"/>
    <w:multiLevelType w:val="singleLevel"/>
    <w:tmpl w:val="15210A1E"/>
    <w:lvl w:ilvl="0" w:tentative="0">
      <w:start w:val="1"/>
      <w:numFmt w:val="decimal"/>
      <w:suff w:val="nothing"/>
      <w:lvlText w:val="%1．"/>
      <w:lvlJc w:val="left"/>
    </w:lvl>
  </w:abstractNum>
  <w:abstractNum w:abstractNumId="2">
    <w:nsid w:val="6893E785"/>
    <w:multiLevelType w:val="singleLevel"/>
    <w:tmpl w:val="6893E785"/>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czNTlkNmZkOWE2OTk5ODkyMGNmYWE0MDRkZDJkNjQifQ=="/>
  </w:docVars>
  <w:rsids>
    <w:rsidRoot w:val="009F0536"/>
    <w:rsid w:val="0000662F"/>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25D2E"/>
    <w:rsid w:val="0023107E"/>
    <w:rsid w:val="00233241"/>
    <w:rsid w:val="00297C52"/>
    <w:rsid w:val="00300987"/>
    <w:rsid w:val="0030784F"/>
    <w:rsid w:val="00312846"/>
    <w:rsid w:val="00367870"/>
    <w:rsid w:val="00375E79"/>
    <w:rsid w:val="003A4E85"/>
    <w:rsid w:val="003B3EAA"/>
    <w:rsid w:val="00482D36"/>
    <w:rsid w:val="00490629"/>
    <w:rsid w:val="0049507B"/>
    <w:rsid w:val="004A738F"/>
    <w:rsid w:val="004B1589"/>
    <w:rsid w:val="004B721F"/>
    <w:rsid w:val="004D7065"/>
    <w:rsid w:val="004E0B6C"/>
    <w:rsid w:val="005011E1"/>
    <w:rsid w:val="00505A51"/>
    <w:rsid w:val="0051384E"/>
    <w:rsid w:val="00521603"/>
    <w:rsid w:val="00536012"/>
    <w:rsid w:val="0054657E"/>
    <w:rsid w:val="0059054F"/>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C6B8B"/>
    <w:rsid w:val="00CD3751"/>
    <w:rsid w:val="00D2051A"/>
    <w:rsid w:val="00D96390"/>
    <w:rsid w:val="00E219E7"/>
    <w:rsid w:val="00E60D6A"/>
    <w:rsid w:val="00E73321"/>
    <w:rsid w:val="00E77EC0"/>
    <w:rsid w:val="00E914C1"/>
    <w:rsid w:val="00E97C37"/>
    <w:rsid w:val="00EE533B"/>
    <w:rsid w:val="00F04882"/>
    <w:rsid w:val="00F63327"/>
    <w:rsid w:val="00F80A29"/>
    <w:rsid w:val="00FA7CA5"/>
    <w:rsid w:val="00FD08EC"/>
    <w:rsid w:val="00FD7690"/>
    <w:rsid w:val="26B52066"/>
    <w:rsid w:val="2A89683C"/>
    <w:rsid w:val="2DF079F6"/>
    <w:rsid w:val="32281F20"/>
    <w:rsid w:val="401874CF"/>
    <w:rsid w:val="52CD5162"/>
    <w:rsid w:val="5C62052C"/>
    <w:rsid w:val="67045010"/>
    <w:rsid w:val="68AD25EF"/>
    <w:rsid w:val="7E855B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iPriority="1" w:semiHidden="0" w:name="Body Text"/>
    <w:lsdException w:qFormat="1"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31"/>
    <w:qFormat/>
    <w:uiPriority w:val="0"/>
    <w:pPr>
      <w:keepNext/>
      <w:keepLines/>
      <w:spacing w:before="260" w:after="260" w:line="416" w:lineRule="auto"/>
      <w:outlineLvl w:val="2"/>
    </w:pPr>
    <w:rPr>
      <w:b/>
      <w:bCs/>
      <w:sz w:val="32"/>
      <w:szCs w:val="32"/>
    </w:rPr>
  </w:style>
  <w:style w:type="paragraph" w:styleId="7">
    <w:name w:val="heading 4"/>
    <w:basedOn w:val="1"/>
    <w:next w:val="1"/>
    <w:link w:val="26"/>
    <w:qFormat/>
    <w:uiPriority w:val="0"/>
    <w:pPr>
      <w:keepNext/>
      <w:keepLines/>
      <w:spacing w:before="280" w:after="290" w:line="376" w:lineRule="auto"/>
      <w:outlineLvl w:val="3"/>
    </w:pPr>
    <w:rPr>
      <w:rFonts w:ascii="Cambria" w:hAnsi="Cambria"/>
      <w:b/>
      <w:bCs/>
      <w:sz w:val="28"/>
      <w:szCs w:val="28"/>
    </w:rPr>
  </w:style>
  <w:style w:type="character" w:default="1" w:styleId="23">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jc w:val="left"/>
    </w:pPr>
    <w:rPr>
      <w:rFonts w:hint="eastAsia" w:ascii="宋体" w:hAnsi="宋体" w:eastAsia="宋体"/>
      <w:kern w:val="0"/>
      <w:sz w:val="24"/>
      <w:szCs w:val="24"/>
    </w:rPr>
  </w:style>
  <w:style w:type="paragraph" w:styleId="3">
    <w:name w:val="Body Text Indent"/>
    <w:basedOn w:val="1"/>
    <w:unhideWhenUsed/>
    <w:qFormat/>
    <w:uiPriority w:val="99"/>
    <w:pPr>
      <w:spacing w:after="120"/>
      <w:ind w:left="420" w:leftChars="200"/>
    </w:pPr>
  </w:style>
  <w:style w:type="paragraph" w:styleId="8">
    <w:name w:val="toc 7"/>
    <w:basedOn w:val="1"/>
    <w:next w:val="1"/>
    <w:qFormat/>
    <w:uiPriority w:val="0"/>
    <w:pPr>
      <w:ind w:left="1260"/>
      <w:jc w:val="left"/>
    </w:pPr>
    <w:rPr>
      <w:sz w:val="20"/>
      <w:szCs w:val="20"/>
    </w:rPr>
  </w:style>
  <w:style w:type="paragraph" w:styleId="9">
    <w:name w:val="Document Map"/>
    <w:basedOn w:val="1"/>
    <w:qFormat/>
    <w:uiPriority w:val="0"/>
    <w:pPr>
      <w:shd w:val="clear" w:color="auto" w:fill="000080"/>
    </w:pPr>
  </w:style>
  <w:style w:type="paragraph" w:styleId="10">
    <w:name w:val="Body Text"/>
    <w:basedOn w:val="1"/>
    <w:unhideWhenUsed/>
    <w:qFormat/>
    <w:uiPriority w:val="1"/>
    <w:pPr>
      <w:spacing w:after="120"/>
    </w:pPr>
  </w:style>
  <w:style w:type="paragraph" w:styleId="11">
    <w:name w:val="toc 5"/>
    <w:basedOn w:val="1"/>
    <w:next w:val="1"/>
    <w:qFormat/>
    <w:uiPriority w:val="0"/>
    <w:pPr>
      <w:ind w:left="840"/>
      <w:jc w:val="left"/>
    </w:pPr>
    <w:rPr>
      <w:sz w:val="20"/>
      <w:szCs w:val="20"/>
    </w:rPr>
  </w:style>
  <w:style w:type="paragraph" w:styleId="12">
    <w:name w:val="toc 3"/>
    <w:basedOn w:val="1"/>
    <w:next w:val="1"/>
    <w:qFormat/>
    <w:uiPriority w:val="0"/>
    <w:pPr>
      <w:adjustRightInd w:val="0"/>
      <w:snapToGrid w:val="0"/>
      <w:spacing w:line="360" w:lineRule="auto"/>
      <w:ind w:firstLine="400" w:firstLineChars="400"/>
      <w:jc w:val="left"/>
    </w:pPr>
    <w:rPr>
      <w:sz w:val="24"/>
      <w:szCs w:val="20"/>
    </w:rPr>
  </w:style>
  <w:style w:type="paragraph" w:styleId="13">
    <w:name w:val="toc 8"/>
    <w:basedOn w:val="1"/>
    <w:next w:val="1"/>
    <w:qFormat/>
    <w:uiPriority w:val="0"/>
    <w:pPr>
      <w:ind w:left="1470"/>
      <w:jc w:val="left"/>
    </w:pPr>
    <w:rPr>
      <w:sz w:val="20"/>
      <w:szCs w:val="20"/>
    </w:rPr>
  </w:style>
  <w:style w:type="paragraph" w:styleId="14">
    <w:name w:val="footer"/>
    <w:basedOn w:val="1"/>
    <w:link w:val="29"/>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pPr>
      <w:adjustRightInd w:val="0"/>
      <w:snapToGrid w:val="0"/>
      <w:spacing w:line="360" w:lineRule="auto"/>
      <w:jc w:val="left"/>
    </w:pPr>
    <w:rPr>
      <w:b/>
      <w:bCs/>
      <w:sz w:val="24"/>
      <w:szCs w:val="20"/>
    </w:rPr>
  </w:style>
  <w:style w:type="paragraph" w:styleId="17">
    <w:name w:val="toc 4"/>
    <w:basedOn w:val="1"/>
    <w:next w:val="1"/>
    <w:qFormat/>
    <w:uiPriority w:val="0"/>
    <w:pPr>
      <w:ind w:left="630"/>
      <w:jc w:val="left"/>
    </w:pPr>
    <w:rPr>
      <w:sz w:val="20"/>
      <w:szCs w:val="20"/>
    </w:rPr>
  </w:style>
  <w:style w:type="paragraph" w:styleId="18">
    <w:name w:val="toc 6"/>
    <w:basedOn w:val="1"/>
    <w:next w:val="1"/>
    <w:qFormat/>
    <w:uiPriority w:val="0"/>
    <w:pPr>
      <w:ind w:left="1050"/>
      <w:jc w:val="left"/>
    </w:pPr>
    <w:rPr>
      <w:sz w:val="20"/>
      <w:szCs w:val="20"/>
    </w:rPr>
  </w:style>
  <w:style w:type="paragraph" w:styleId="19">
    <w:name w:val="toc 2"/>
    <w:basedOn w:val="1"/>
    <w:next w:val="1"/>
    <w:qFormat/>
    <w:uiPriority w:val="0"/>
    <w:pPr>
      <w:adjustRightInd w:val="0"/>
      <w:snapToGrid w:val="0"/>
      <w:spacing w:line="360" w:lineRule="auto"/>
      <w:ind w:firstLine="200" w:firstLineChars="200"/>
      <w:jc w:val="left"/>
    </w:pPr>
    <w:rPr>
      <w:iCs/>
      <w:sz w:val="24"/>
      <w:szCs w:val="20"/>
    </w:rPr>
  </w:style>
  <w:style w:type="paragraph" w:styleId="20">
    <w:name w:val="toc 9"/>
    <w:basedOn w:val="1"/>
    <w:next w:val="1"/>
    <w:qFormat/>
    <w:uiPriority w:val="0"/>
    <w:pPr>
      <w:ind w:left="1680"/>
      <w:jc w:val="left"/>
    </w:pPr>
    <w:rPr>
      <w:sz w:val="20"/>
      <w:szCs w:val="20"/>
    </w:rPr>
  </w:style>
  <w:style w:type="table" w:styleId="22">
    <w:name w:val="Table Grid"/>
    <w:basedOn w:val="21"/>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page number"/>
    <w:basedOn w:val="23"/>
    <w:qFormat/>
    <w:uiPriority w:val="0"/>
  </w:style>
  <w:style w:type="character" w:styleId="25">
    <w:name w:val="Hyperlink"/>
    <w:basedOn w:val="23"/>
    <w:qFormat/>
    <w:uiPriority w:val="0"/>
    <w:rPr>
      <w:color w:val="0000FF"/>
      <w:u w:val="single"/>
    </w:rPr>
  </w:style>
  <w:style w:type="character" w:customStyle="1" w:styleId="26">
    <w:name w:val="标题 4 字符"/>
    <w:basedOn w:val="23"/>
    <w:link w:val="7"/>
    <w:qFormat/>
    <w:uiPriority w:val="0"/>
    <w:rPr>
      <w:rFonts w:ascii="Cambria" w:hAnsi="Cambria"/>
      <w:b/>
      <w:bCs/>
      <w:kern w:val="2"/>
      <w:sz w:val="28"/>
      <w:szCs w:val="28"/>
    </w:rPr>
  </w:style>
  <w:style w:type="paragraph" w:customStyle="1" w:styleId="27">
    <w:name w:val="No Spacing"/>
    <w:link w:val="28"/>
    <w:qFormat/>
    <w:uiPriority w:val="0"/>
    <w:pPr>
      <w:ind w:firstLine="200" w:firstLineChars="200"/>
    </w:pPr>
    <w:rPr>
      <w:rFonts w:ascii="Times New Roman" w:hAnsi="Times New Roman" w:eastAsia="仿宋_GB2312" w:cs="Times New Roman"/>
      <w:sz w:val="30"/>
      <w:szCs w:val="22"/>
      <w:lang w:val="en-US" w:eastAsia="zh-CN" w:bidi="ar-SA"/>
    </w:rPr>
  </w:style>
  <w:style w:type="character" w:customStyle="1" w:styleId="28">
    <w:name w:val="无间隔 字符"/>
    <w:link w:val="27"/>
    <w:qFormat/>
    <w:locked/>
    <w:uiPriority w:val="0"/>
    <w:rPr>
      <w:rFonts w:eastAsia="仿宋_GB2312"/>
      <w:sz w:val="30"/>
      <w:szCs w:val="22"/>
      <w:lang w:bidi="ar-SA"/>
    </w:rPr>
  </w:style>
  <w:style w:type="character" w:customStyle="1" w:styleId="29">
    <w:name w:val="页脚 字符"/>
    <w:basedOn w:val="23"/>
    <w:link w:val="14"/>
    <w:qFormat/>
    <w:uiPriority w:val="0"/>
    <w:rPr>
      <w:kern w:val="2"/>
      <w:sz w:val="18"/>
      <w:szCs w:val="18"/>
    </w:rPr>
  </w:style>
  <w:style w:type="paragraph" w:customStyle="1" w:styleId="30">
    <w:name w:val="List Paragraph"/>
    <w:basedOn w:val="1"/>
    <w:qFormat/>
    <w:uiPriority w:val="0"/>
    <w:pPr>
      <w:ind w:firstLine="420" w:firstLineChars="200"/>
    </w:pPr>
  </w:style>
  <w:style w:type="character" w:customStyle="1" w:styleId="31">
    <w:name w:val="标题 3 字符"/>
    <w:basedOn w:val="23"/>
    <w:link w:val="6"/>
    <w:qFormat/>
    <w:uiPriority w:val="0"/>
    <w:rPr>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收入决算图</a:t>
            </a:r>
          </a:p>
        </c:rich>
      </c:tx>
      <c:layout/>
      <c:overlay val="0"/>
      <c:spPr>
        <a:noFill/>
        <a:ln>
          <a:noFill/>
        </a:ln>
        <a:effectLst/>
      </c:spPr>
    </c:title>
    <c:autoTitleDeleted val="0"/>
    <c:plotArea>
      <c:layout/>
      <c:pieChart>
        <c:varyColors val="1"/>
        <c:ser>
          <c:idx val="0"/>
          <c:order val="0"/>
          <c:tx>
            <c:strRef>
              <c:f>Sheet1!$B$1</c:f>
              <c:strCache>
                <c:ptCount val="1"/>
                <c:pt idx="0">
                  <c:v>收入决算图</c:v>
                </c:pt>
              </c:strCache>
            </c:strRef>
          </c:tx>
          <c:spPr>
            <a:gradFill>
              <a:gsLst>
                <a:gs pos="0">
                  <a:schemeClr val="bg1"/>
                </a:gs>
                <a:gs pos="42000">
                  <a:srgbClr val="6ACCF2"/>
                </a:gs>
                <a:gs pos="100000">
                  <a:srgbClr val="2497EA"/>
                </a:gs>
              </a:gsLst>
              <a:lin ang="8100000" scaled="1"/>
            </a:gradFill>
          </c:spPr>
          <c:explosion val="0"/>
          <c:dPt>
            <c:idx val="0"/>
            <c:bubble3D val="0"/>
            <c:spPr>
              <a:gradFill>
                <a:gsLst>
                  <a:gs pos="0">
                    <a:schemeClr val="bg1"/>
                  </a:gs>
                  <a:gs pos="42000">
                    <a:srgbClr val="6ACCF2"/>
                  </a:gs>
                  <a:gs pos="100000">
                    <a:srgbClr val="2497EA"/>
                  </a:gs>
                </a:gsLst>
                <a:lin ang="8100000" scaled="1"/>
              </a:gradFill>
              <a:ln>
                <a:solidFill>
                  <a:schemeClr val="bg1"/>
                </a:solidFill>
              </a:ln>
              <a:effectLst/>
            </c:spPr>
          </c:dPt>
          <c:dPt>
            <c:idx val="1"/>
            <c:bubble3D val="0"/>
            <c:spPr>
              <a:gradFill>
                <a:gsLst>
                  <a:gs pos="0">
                    <a:schemeClr val="bg1"/>
                  </a:gs>
                  <a:gs pos="42000">
                    <a:srgbClr val="6ACCF2"/>
                  </a:gs>
                  <a:gs pos="100000">
                    <a:srgbClr val="2497EA"/>
                  </a:gs>
                </a:gsLst>
                <a:lin ang="8100000" scaled="1"/>
              </a:gradFill>
              <a:ln>
                <a:solidFill>
                  <a:schemeClr val="bg1"/>
                </a:solidFill>
              </a:ln>
              <a:effectLst/>
            </c:spPr>
          </c:dPt>
          <c:dPt>
            <c:idx val="2"/>
            <c:bubble3D val="0"/>
            <c:spPr>
              <a:gradFill>
                <a:gsLst>
                  <a:gs pos="0">
                    <a:schemeClr val="bg1"/>
                  </a:gs>
                  <a:gs pos="42000">
                    <a:srgbClr val="6ACCF2"/>
                  </a:gs>
                  <a:gs pos="100000">
                    <a:srgbClr val="2497EA"/>
                  </a:gs>
                </a:gsLst>
                <a:lin ang="8100000" scaled="1"/>
              </a:gradFill>
              <a:ln>
                <a:solidFill>
                  <a:schemeClr val="bg1"/>
                </a:solidFill>
              </a:ln>
              <a:effectLst/>
            </c:spPr>
          </c:dPt>
          <c:dPt>
            <c:idx val="3"/>
            <c:bubble3D val="0"/>
            <c:spPr>
              <a:gradFill>
                <a:gsLst>
                  <a:gs pos="0">
                    <a:schemeClr val="bg1"/>
                  </a:gs>
                  <a:gs pos="42000">
                    <a:srgbClr val="6ACCF2"/>
                  </a:gs>
                  <a:gs pos="100000">
                    <a:srgbClr val="2497EA"/>
                  </a:gs>
                </a:gsLst>
                <a:lin ang="8100000" scaled="1"/>
              </a:gradFill>
              <a:ln>
                <a:solidFill>
                  <a:schemeClr val="bg1"/>
                </a:solidFill>
              </a:ln>
              <a:effectLst/>
            </c:spPr>
          </c:dPt>
          <c:dLbls>
            <c:dLbl>
              <c:idx val="0"/>
              <c:layout>
                <c:manualLayout>
                  <c:x val="-0.134090359990336"/>
                  <c:y val="-0.175308117297068"/>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2"/>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2"/>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3"/>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3"/>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4"/>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本年一般公共预算财政拨款收入</c:v>
                </c:pt>
              </c:strCache>
            </c:strRef>
          </c:cat>
          <c:val>
            <c:numRef>
              <c:f>Sheet1!$B$2:$B$5</c:f>
              <c:numCache>
                <c:formatCode>0%</c:formatCode>
                <c:ptCount val="4"/>
                <c:pt idx="0">
                  <c:v>1</c:v>
                </c:pt>
              </c:numCache>
            </c:numRef>
          </c:val>
        </c:ser>
        <c:dLbls>
          <c:showLegendKey val="0"/>
          <c:showVal val="1"/>
          <c:showCatName val="0"/>
          <c:showSerName val="0"/>
          <c:showPercent val="0"/>
          <c:showBubbleSize val="0"/>
          <c:showLeaderLines val="1"/>
        </c:dLbls>
        <c:firstSliceAng val="36"/>
      </c:pieChart>
      <c:spPr>
        <a:noFill/>
        <a:ln>
          <a:noFill/>
        </a:ln>
        <a:effectLst/>
      </c:spPr>
    </c:plotArea>
    <c:plotVisOnly val="1"/>
    <c:dispBlanksAs val="gap"/>
    <c:showDLblsOverMax val="0"/>
    <c:extLst>
      <c:ext uri="{0b15fc19-7d7d-44ad-8c2d-2c3a37ce22c3}">
        <chartProps xmlns="https://web.wps.cn/et/2018/main" chartId="{f9793ffa-f2d9-4edd-9d69-ac6ea75e0b3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支出决算图</a:t>
            </a:r>
          </a:p>
        </c:rich>
      </c:tx>
      <c:layout>
        <c:manualLayout>
          <c:xMode val="edge"/>
          <c:yMode val="edge"/>
          <c:x val="0.442135781589756"/>
          <c:y val="0.0271993200169996"/>
        </c:manualLayout>
      </c:layout>
      <c:overlay val="0"/>
      <c:spPr>
        <a:noFill/>
        <a:ln>
          <a:noFill/>
        </a:ln>
        <a:effectLst/>
      </c:spPr>
    </c:title>
    <c:autoTitleDeleted val="0"/>
    <c:plotArea>
      <c:layout/>
      <c:pieChart>
        <c:varyColors val="1"/>
        <c:ser>
          <c:idx val="0"/>
          <c:order val="0"/>
          <c:tx>
            <c:strRef>
              <c:f>Sheet1!$B$1</c:f>
              <c:strCache>
                <c:ptCount val="1"/>
                <c:pt idx="0">
                  <c:v>销售额</c:v>
                </c:pt>
              </c:strCache>
            </c:strRef>
          </c:tx>
          <c:spPr>
            <a:gradFill>
              <a:gsLst>
                <a:gs pos="0">
                  <a:schemeClr val="bg1"/>
                </a:gs>
                <a:gs pos="42000">
                  <a:srgbClr val="6ACCF2"/>
                </a:gs>
                <a:gs pos="100000">
                  <a:srgbClr val="2497EA"/>
                </a:gs>
              </a:gsLst>
              <a:lin ang="8100000" scaled="1"/>
            </a:gradFill>
          </c:spPr>
          <c:explosion val="0"/>
          <c:dPt>
            <c:idx val="0"/>
            <c:bubble3D val="0"/>
            <c:spPr>
              <a:gradFill>
                <a:gsLst>
                  <a:gs pos="0">
                    <a:schemeClr val="bg1"/>
                  </a:gs>
                  <a:gs pos="42000">
                    <a:srgbClr val="6ACCF2"/>
                  </a:gs>
                  <a:gs pos="100000">
                    <a:srgbClr val="2497EA"/>
                  </a:gs>
                </a:gsLst>
                <a:lin ang="8100000" scaled="1"/>
              </a:gradFill>
              <a:ln>
                <a:solidFill>
                  <a:schemeClr val="bg1"/>
                </a:solidFill>
              </a:ln>
              <a:effectLst/>
            </c:spPr>
          </c:dPt>
          <c:dPt>
            <c:idx val="1"/>
            <c:bubble3D val="0"/>
            <c:spPr>
              <a:gradFill>
                <a:gsLst>
                  <a:gs pos="0">
                    <a:schemeClr val="bg1"/>
                  </a:gs>
                  <a:gs pos="42000">
                    <a:srgbClr val="6ACCF2"/>
                  </a:gs>
                  <a:gs pos="100000">
                    <a:srgbClr val="2497EA"/>
                  </a:gs>
                </a:gsLst>
                <a:lin ang="8100000" scaled="1"/>
              </a:gradFill>
              <a:ln>
                <a:solidFill>
                  <a:schemeClr val="bg1"/>
                </a:solidFill>
              </a:ln>
              <a:effectLst/>
            </c:spPr>
          </c:dPt>
          <c:dPt>
            <c:idx val="2"/>
            <c:bubble3D val="0"/>
            <c:spPr>
              <a:gradFill>
                <a:gsLst>
                  <a:gs pos="0">
                    <a:schemeClr val="bg1"/>
                  </a:gs>
                  <a:gs pos="42000">
                    <a:srgbClr val="6ACCF2"/>
                  </a:gs>
                  <a:gs pos="100000">
                    <a:srgbClr val="2497EA"/>
                  </a:gs>
                </a:gsLst>
                <a:lin ang="8100000" scaled="1"/>
              </a:gradFill>
              <a:ln>
                <a:solidFill>
                  <a:schemeClr val="bg1"/>
                </a:solidFill>
              </a:ln>
              <a:effectLst/>
            </c:spPr>
          </c:dPt>
          <c:dPt>
            <c:idx val="3"/>
            <c:bubble3D val="0"/>
            <c:spPr>
              <a:gradFill>
                <a:gsLst>
                  <a:gs pos="0">
                    <a:schemeClr val="bg1"/>
                  </a:gs>
                  <a:gs pos="42000">
                    <a:srgbClr val="6ACCF2"/>
                  </a:gs>
                  <a:gs pos="100000">
                    <a:srgbClr val="2497EA"/>
                  </a:gs>
                </a:gsLst>
                <a:lin ang="8100000" scaled="1"/>
              </a:gradFill>
              <a:ln>
                <a:solidFill>
                  <a:schemeClr val="bg1"/>
                </a:solidFill>
              </a:ln>
              <a:effectLst/>
            </c:spPr>
          </c:dPt>
          <c:dLbls>
            <c:dLbl>
              <c:idx val="0"/>
              <c:layout>
                <c:manualLayout>
                  <c:x val="-0.151244261899009"/>
                  <c:y val="-0.0539736506587335"/>
                </c:manualLayout>
              </c:layout>
              <c:tx>
                <c:rich>
                  <a:bodyPr rot="0" spcFirstLastPara="0" vertOverflow="ellipsis" vert="horz" wrap="square" lIns="38100" tIns="19050" rIns="38100" bIns="19050" anchor="ctr" anchorCtr="1"/>
                  <a:lstStyle/>
                  <a:p>
                    <a:pPr defTabSz="914400">
                      <a:defRPr lang="zh-CN" sz="1000" b="1" i="0" u="none" strike="noStrike" kern="1200" spc="0" baseline="0">
                        <a:solidFill>
                          <a:schemeClr val="accent1"/>
                        </a:solidFill>
                        <a:latin typeface="+mn-lt"/>
                        <a:ea typeface="+mn-ea"/>
                        <a:cs typeface="+mn-cs"/>
                      </a:defRPr>
                    </a:pPr>
                    <a:r>
                      <a:t> 本年基本支出</a:t>
                    </a:r>
                  </a:p>
                  <a:p>
                    <a:pPr defTabSz="914400">
                      <a:defRPr lang="zh-CN" sz="1000" b="1" i="0" u="none" strike="noStrike" kern="1200" spc="0" baseline="0">
                        <a:solidFill>
                          <a:schemeClr val="accent1"/>
                        </a:solidFill>
                        <a:latin typeface="+mn-lt"/>
                        <a:ea typeface="+mn-ea"/>
                        <a:cs typeface="+mn-cs"/>
                      </a:defRPr>
                    </a:pPr>
                    <a:r>
                      <a:t>99.74%</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129620681323991"/>
                  <c:y val="0.0254993625159371"/>
                </c:manualLayout>
              </c:layout>
              <c:tx>
                <c:rich>
                  <a:bodyPr rot="0" spcFirstLastPara="0" vertOverflow="ellipsis" vert="horz" wrap="square" lIns="38100" tIns="19050" rIns="38100" bIns="19050" anchor="ctr" anchorCtr="1"/>
                  <a:lstStyle/>
                  <a:p>
                    <a:pPr defTabSz="914400">
                      <a:defRPr lang="zh-CN" sz="1000" b="1" i="0" u="none" strike="noStrike" kern="1200" spc="0" baseline="0">
                        <a:solidFill>
                          <a:schemeClr val="accent2"/>
                        </a:solidFill>
                        <a:latin typeface="+mn-lt"/>
                        <a:ea typeface="+mn-ea"/>
                        <a:cs typeface="+mn-cs"/>
                      </a:defRPr>
                    </a:pPr>
                    <a:r>
                      <a:t>本年项目支出0.26%</a:t>
                    </a: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2"/>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2"/>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3"/>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3"/>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4"/>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 本年基本支出</c:v>
                </c:pt>
                <c:pt idx="1">
                  <c:v>本年项目支出</c:v>
                </c:pt>
              </c:strCache>
            </c:strRef>
          </c:cat>
          <c:val>
            <c:numRef>
              <c:f>Sheet1!$B$2:$B$5</c:f>
              <c:numCache>
                <c:formatCode>0.00%</c:formatCode>
                <c:ptCount val="4"/>
                <c:pt idx="0">
                  <c:v>0.9974</c:v>
                </c:pt>
                <c:pt idx="1">
                  <c:v>0.0026</c:v>
                </c:pt>
              </c:numCache>
            </c:numRef>
          </c:val>
        </c:ser>
        <c:dLbls>
          <c:showLegendKey val="0"/>
          <c:showVal val="1"/>
          <c:showCatName val="0"/>
          <c:showSerName val="0"/>
          <c:showPercent val="0"/>
          <c:showBubbleSize val="0"/>
          <c:showLeaderLines val="1"/>
        </c:dLbls>
        <c:firstSliceAng val="36"/>
      </c:pieChart>
      <c:spPr>
        <a:noFill/>
        <a:ln>
          <a:noFill/>
        </a:ln>
        <a:effectLst/>
      </c:spPr>
    </c:plotArea>
    <c:plotVisOnly val="1"/>
    <c:dispBlanksAs val="gap"/>
    <c:showDLblsOverMax val="0"/>
    <c:extLst>
      <c:ext uri="{0b15fc19-7d7d-44ad-8c2d-2c3a37ce22c3}">
        <chartProps xmlns="https://web.wps.cn/et/2018/main" chartId="{0b350ec5-a5a5-4d68-bc84-282b1d01ed3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57559B6-2DC7-41B5-818F-6E7F243775C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19</Pages>
  <Words>8482</Words>
  <Characters>9245</Characters>
  <Lines>1</Lines>
  <Paragraphs>1</Paragraphs>
  <TotalTime>20</TotalTime>
  <ScaleCrop>false</ScaleCrop>
  <LinksUpToDate>false</LinksUpToDate>
  <CharactersWithSpaces>9464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2022-03-23T12:40:00Z</dcterms:created>
  <dc:creator>Administrator</dc:creator>
  <cp:lastModifiedBy>Administrator</cp:lastModifiedBy>
  <cp:lastPrinted>2021-04-16T00:45:00Z</cp:lastPrinted>
  <dcterms:modified xsi:type="dcterms:W3CDTF">2024-11-04T02:58:42Z</dcterms:modified>
  <dc:title>××年度××部门/单位</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8FF4082965854BB189557350E9F2AAE6_13</vt:lpwstr>
  </property>
</Properties>
</file>