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b/>
          <w:color w:val="auto"/>
          <w:sz w:val="36"/>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b/>
          <w:color w:val="auto"/>
          <w:sz w:val="36"/>
          <w:szCs w:val="24"/>
        </w:rPr>
      </w:pPr>
    </w:p>
    <w:p>
      <w:pPr>
        <w:spacing w:before="100" w:beforeLines="0" w:after="100" w:afterLines="0" w:line="580" w:lineRule="atLeast"/>
        <w:ind w:firstLine="600"/>
        <w:jc w:val="center"/>
        <w:rPr>
          <w:rFonts w:hint="default" w:ascii="Times New Roman" w:hAnsi="Times New Roman" w:eastAsia="Times New Roman"/>
          <w:b/>
          <w:color w:val="auto"/>
          <w:sz w:val="36"/>
          <w:szCs w:val="24"/>
        </w:rPr>
      </w:pPr>
    </w:p>
    <w:p>
      <w:pPr>
        <w:spacing w:before="100" w:beforeLines="0" w:after="100" w:afterLines="0" w:line="580" w:lineRule="atLeast"/>
        <w:ind w:firstLine="600"/>
        <w:jc w:val="center"/>
        <w:rPr>
          <w:rFonts w:hint="default" w:ascii="Times New Roman" w:hAnsi="Times New Roman" w:eastAsia="Times New Roman"/>
          <w:color w:val="auto"/>
          <w:sz w:val="24"/>
          <w:szCs w:val="24"/>
        </w:rPr>
      </w:pP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ind w:firstLine="601"/>
        <w:jc w:val="center"/>
        <w:rPr>
          <w:rFonts w:hint="default" w:ascii="Times New Roman" w:hAnsi="Times New Roman" w:eastAsia="Times New Roman"/>
          <w:color w:val="auto"/>
          <w:sz w:val="24"/>
          <w:szCs w:val="24"/>
        </w:rPr>
      </w:pPr>
      <w:r>
        <w:rPr>
          <w:rFonts w:hint="eastAsia" w:ascii="仿宋_GB2312" w:hAnsi="仿宋_GB2312" w:eastAsia="仿宋_GB2312"/>
          <w:b/>
          <w:color w:val="auto"/>
          <w:sz w:val="44"/>
          <w:szCs w:val="24"/>
        </w:rPr>
        <w:t>鄂温克族自治旗审计局</w:t>
      </w:r>
    </w:p>
    <w:p>
      <w:pPr>
        <w:spacing w:before="100" w:beforeLines="0" w:after="100" w:afterLines="0"/>
        <w:ind w:firstLine="601"/>
        <w:jc w:val="center"/>
        <w:rPr>
          <w:rFonts w:hint="default" w:ascii="Times New Roman" w:hAnsi="Times New Roman" w:eastAsia="Times New Roman"/>
          <w:color w:val="auto"/>
          <w:sz w:val="24"/>
          <w:szCs w:val="24"/>
        </w:rPr>
      </w:pPr>
      <w:r>
        <w:rPr>
          <w:rFonts w:hint="eastAsia" w:ascii="仿宋_GB2312" w:hAnsi="仿宋_GB2312" w:eastAsia="仿宋_GB2312"/>
          <w:b/>
          <w:color w:val="auto"/>
          <w:sz w:val="44"/>
          <w:szCs w:val="24"/>
        </w:rPr>
        <w:t>2021年度决算公开报告</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line="580" w:lineRule="atLeast"/>
        <w:ind w:firstLine="600"/>
        <w:jc w:val="center"/>
        <w:rPr>
          <w:rFonts w:hint="default" w:ascii="Times New Roman" w:hAnsi="Times New Roman" w:eastAsia="Times New Roman"/>
          <w:color w:val="auto"/>
          <w:sz w:val="24"/>
          <w:szCs w:val="24"/>
        </w:rPr>
      </w:pPr>
      <w:r>
        <w:rPr>
          <w:rFonts w:hint="default" w:ascii="Times New Roman" w:hAnsi="Times New Roman" w:eastAsia="Times New Roman"/>
          <w:b/>
          <w:color w:val="auto"/>
          <w:sz w:val="36"/>
          <w:szCs w:val="24"/>
        </w:rPr>
        <w:t xml:space="preserve"> </w:t>
      </w:r>
    </w:p>
    <w:p>
      <w:pPr>
        <w:spacing w:before="100" w:beforeLines="0" w:after="100" w:afterLines="0"/>
        <w:ind w:firstLine="601"/>
        <w:jc w:val="left"/>
        <w:rPr>
          <w:rFonts w:hint="default" w:ascii="Times New Roman" w:hAnsi="Times New Roman" w:eastAsia="Times New Roman"/>
          <w:color w:val="auto"/>
          <w:sz w:val="24"/>
          <w:szCs w:val="24"/>
        </w:rPr>
      </w:pPr>
      <w:r>
        <w:rPr>
          <w:rFonts w:hint="default" w:ascii="Times New Roman" w:hAnsi="Times New Roman" w:eastAsia="Times New Roman"/>
          <w:b/>
          <w:color w:val="auto"/>
          <w:sz w:val="44"/>
          <w:szCs w:val="24"/>
        </w:rPr>
        <w:t xml:space="preserve"> </w:t>
      </w:r>
    </w:p>
    <w:p>
      <w:pPr>
        <w:spacing w:before="100" w:beforeLines="0" w:after="100" w:afterLines="0"/>
        <w:ind w:firstLine="601"/>
        <w:jc w:val="center"/>
        <w:rPr>
          <w:rFonts w:hint="eastAsia" w:ascii="仿宋_GB2312" w:hAnsi="仿宋_GB2312" w:eastAsia="仿宋_GB2312"/>
          <w:b/>
          <w:color w:val="auto"/>
          <w:sz w:val="44"/>
          <w:szCs w:val="24"/>
        </w:rPr>
      </w:pPr>
    </w:p>
    <w:p>
      <w:pPr>
        <w:spacing w:before="100" w:beforeLines="0" w:after="100" w:afterLines="0"/>
        <w:ind w:firstLine="601"/>
        <w:jc w:val="center"/>
        <w:rPr>
          <w:rFonts w:hint="default" w:ascii="Times New Roman" w:hAnsi="Times New Roman" w:eastAsia="Times New Roman"/>
          <w:color w:val="auto"/>
          <w:sz w:val="24"/>
          <w:szCs w:val="24"/>
        </w:rPr>
      </w:pPr>
      <w:r>
        <w:rPr>
          <w:rFonts w:hint="eastAsia" w:ascii="仿宋_GB2312" w:hAnsi="仿宋_GB2312" w:eastAsia="仿宋_GB2312"/>
          <w:b/>
          <w:color w:val="auto"/>
          <w:sz w:val="44"/>
          <w:szCs w:val="24"/>
        </w:rPr>
        <w:t>目录</w:t>
      </w:r>
    </w:p>
    <w:p>
      <w:pPr>
        <w:spacing w:before="100" w:beforeLines="0" w:after="100" w:afterLines="0"/>
        <w:ind w:firstLine="601"/>
        <w:jc w:val="left"/>
        <w:rPr>
          <w:rFonts w:hint="default" w:ascii="Times New Roman" w:hAnsi="Times New Roman" w:eastAsia="Times New Roman"/>
          <w:color w:val="auto"/>
          <w:sz w:val="24"/>
          <w:szCs w:val="24"/>
        </w:rPr>
      </w:pPr>
      <w:r>
        <w:rPr>
          <w:rFonts w:hint="default" w:ascii="Times New Roman" w:hAnsi="Times New Roman" w:eastAsia="Times New Roman"/>
          <w:b/>
          <w:color w:val="auto"/>
          <w:sz w:val="44"/>
          <w:szCs w:val="24"/>
        </w:rPr>
        <w:t xml:space="preserve"> </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黑体" w:hAnsi="黑体" w:eastAsia="黑体"/>
          <w:b/>
          <w:color w:val="auto"/>
          <w:sz w:val="32"/>
          <w:szCs w:val="24"/>
        </w:rPr>
        <w:t>第一部分 部门基本情况</w:t>
      </w:r>
    </w:p>
    <w:p>
      <w:pPr>
        <w:spacing w:before="100" w:beforeLines="0" w:after="100" w:afterLines="0" w:line="580" w:lineRule="atLeast"/>
        <w:ind w:firstLine="600"/>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一、主要职能职责</w:t>
      </w:r>
    </w:p>
    <w:p>
      <w:pPr>
        <w:spacing w:before="100" w:beforeLines="0" w:after="100" w:afterLines="0" w:line="580" w:lineRule="atLeast"/>
        <w:ind w:firstLine="600"/>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二、部门（单位）机构设置及决算单位构成情况</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黑体" w:hAnsi="黑体" w:eastAsia="黑体"/>
          <w:b/>
          <w:color w:val="auto"/>
          <w:sz w:val="32"/>
          <w:szCs w:val="24"/>
        </w:rPr>
        <w:t>第二部分 2021年度部门决算情况说明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一、关于2021年度预算执行情况分析</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二、关于2021年度决算情况说明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（一）关于收支情况总体说明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（二）关于2021年度收入决算情况说明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（三）关于2021年度支出决算情况说明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（四）关于2021年度财政拨款收入支出决算总体情况说明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（五）关于2021年度一般公共预算财政拨款支出决算情况说明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（六）关于2021年度一般公共预算财政拨款基本支出决算情况说明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eastAsia" w:ascii="仿宋_GB2312" w:hAnsi="仿宋_GB2312" w:eastAsia="仿宋_GB2312"/>
          <w:color w:val="auto"/>
          <w:sz w:val="32"/>
          <w:szCs w:val="24"/>
        </w:rPr>
        <w:t>（七）关于2021年度财政拨款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经费支出决算情况说明</w:t>
      </w:r>
    </w:p>
    <w:p>
      <w:pPr>
        <w:spacing w:before="100" w:beforeLines="0" w:after="100" w:afterLines="0" w:line="580" w:lineRule="atLeast"/>
        <w:ind w:firstLine="601"/>
        <w:jc w:val="left"/>
        <w:rPr>
          <w:rFonts w:hint="default" w:ascii="Times New Roman" w:hAnsi="Times New Roman" w:eastAsia="Times New Roman"/>
          <w:color w:val="auto"/>
          <w:sz w:val="24"/>
          <w:szCs w:val="24"/>
        </w:rPr>
      </w:pPr>
      <w:r>
        <w:rPr>
          <w:rFonts w:hint="default" w:ascii="Times New Roman" w:hAnsi="Times New Roman" w:eastAsia="Times New Roman"/>
          <w:color w:val="auto"/>
          <w:sz w:val="32"/>
          <w:szCs w:val="24"/>
        </w:rPr>
        <w:t xml:space="preserve"> </w:t>
      </w:r>
      <w:r>
        <w:rPr>
          <w:rFonts w:hint="eastAsia" w:ascii="宋体" w:hAnsi="宋体"/>
          <w:color w:val="auto"/>
          <w:sz w:val="32"/>
          <w:szCs w:val="24"/>
        </w:rPr>
        <w:t xml:space="preserve"> </w:t>
      </w:r>
      <w:r>
        <w:rPr>
          <w:rFonts w:hint="eastAsia" w:ascii="仿宋_GB2312" w:hAnsi="仿宋_GB2312" w:eastAsia="仿宋_GB2312"/>
          <w:color w:val="auto"/>
          <w:sz w:val="32"/>
          <w:szCs w:val="24"/>
        </w:rPr>
        <w:t>1、财政拨款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经费支出决算总体情况说明</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default" w:ascii="Times New Roman" w:hAnsi="Times New Roman" w:eastAsia="Times New Roman"/>
          <w:color w:val="auto"/>
          <w:sz w:val="32"/>
          <w:szCs w:val="24"/>
        </w:rPr>
        <w:t xml:space="preserve"> </w:t>
      </w:r>
      <w:r>
        <w:rPr>
          <w:rFonts w:hint="eastAsia" w:ascii="宋体" w:hAnsi="宋体"/>
          <w:color w:val="auto"/>
          <w:sz w:val="32"/>
          <w:szCs w:val="24"/>
        </w:rPr>
        <w:t xml:space="preserve"> </w:t>
      </w:r>
      <w:r>
        <w:rPr>
          <w:rFonts w:hint="eastAsia" w:ascii="仿宋_GB2312" w:hAnsi="仿宋_GB2312" w:eastAsia="仿宋_GB2312"/>
          <w:color w:val="auto"/>
          <w:sz w:val="32"/>
          <w:szCs w:val="24"/>
        </w:rPr>
        <w:t>2、财政拨款</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三公</w:t>
      </w:r>
      <w:r>
        <w:rPr>
          <w:rFonts w:hint="default" w:ascii="Times New Roman" w:hAnsi="Times New Roman" w:eastAsia="Times New Roman"/>
          <w:color w:val="auto"/>
          <w:sz w:val="32"/>
          <w:szCs w:val="24"/>
        </w:rPr>
        <w:t>”</w:t>
      </w:r>
      <w:r>
        <w:rPr>
          <w:rFonts w:hint="eastAsia" w:ascii="仿宋_GB2312" w:hAnsi="仿宋_GB2312" w:eastAsia="仿宋_GB2312"/>
          <w:color w:val="auto"/>
          <w:sz w:val="32"/>
          <w:szCs w:val="24"/>
        </w:rPr>
        <w:t>经费支出决算具体情况说明</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（八）关于2021年度政府性基金预算财政拨款支出决算情况说明</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（九）关于2021年度国有资本经营预算支出决算情况说明</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（十）关于2021年度项目支出决算情况说明</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（十一）政府采购支出情况</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（十二）机关运行经费支出情况</w:t>
      </w:r>
    </w:p>
    <w:p>
      <w:pPr>
        <w:spacing w:before="100" w:beforeLines="0" w:after="100" w:afterLines="0" w:line="580" w:lineRule="atLeast"/>
        <w:ind w:firstLine="601"/>
        <w:jc w:val="left"/>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（十三）国有资产占用情况</w:t>
      </w:r>
    </w:p>
    <w:p>
      <w:pPr>
        <w:spacing w:before="100" w:beforeLines="0" w:after="100" w:afterLines="0" w:line="580" w:lineRule="atLeast"/>
        <w:ind w:firstLine="601"/>
        <w:jc w:val="left"/>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三、预算绩效评价工作开展情况</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（一）预算绩效管理工作开展情况</w:t>
      </w:r>
    </w:p>
    <w:p>
      <w:p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（二）部门决算中项目绩效自评结果</w:t>
      </w:r>
    </w:p>
    <w:p>
      <w:pPr>
        <w:spacing w:before="100" w:beforeLines="0" w:after="100" w:afterLines="0" w:line="580" w:lineRule="atLeast"/>
        <w:ind w:firstLine="601"/>
        <w:jc w:val="left"/>
        <w:rPr>
          <w:rFonts w:hint="default" w:ascii="Times New Roman" w:hAnsi="Times New Roman" w:eastAsia="Times New Roman"/>
          <w:color w:val="auto"/>
          <w:kern w:val="0"/>
          <w:sz w:val="32"/>
          <w:szCs w:val="24"/>
        </w:rPr>
      </w:pPr>
      <w:r>
        <w:rPr>
          <w:rFonts w:hint="eastAsia" w:ascii="仿宋_GB2312" w:hAnsi="仿宋_GB2312" w:eastAsia="仿宋_GB2312"/>
          <w:color w:val="auto"/>
          <w:sz w:val="32"/>
          <w:szCs w:val="24"/>
        </w:rPr>
        <w:t>（三）部门评价项目绩效评价结果</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default" w:ascii="Times New Roman" w:hAnsi="Times New Roman" w:eastAsia="Times New Roman"/>
          <w:color w:val="auto"/>
          <w:kern w:val="0"/>
          <w:sz w:val="32"/>
          <w:szCs w:val="24"/>
        </w:rPr>
        <w:t xml:space="preserve"> </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黑体" w:hAnsi="黑体" w:eastAsia="黑体"/>
          <w:b/>
          <w:color w:val="auto"/>
          <w:kern w:val="0"/>
          <w:sz w:val="32"/>
          <w:szCs w:val="24"/>
        </w:rPr>
        <w:t>第三部分 名词解释</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黑体" w:hAnsi="黑体" w:eastAsia="黑体"/>
          <w:b/>
          <w:color w:val="auto"/>
          <w:kern w:val="0"/>
          <w:sz w:val="32"/>
          <w:szCs w:val="24"/>
        </w:rPr>
        <w:t>第四部分 决算公开联系方式及信息反馈渠道</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黑体" w:hAnsi="黑体" w:eastAsia="黑体"/>
          <w:b/>
          <w:color w:val="auto"/>
          <w:kern w:val="0"/>
          <w:sz w:val="32"/>
          <w:szCs w:val="24"/>
        </w:rPr>
        <w:t>第五部分 部门决算公开表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一、收入支出决算总表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二、收入决算表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三、支出决算表</w:t>
      </w:r>
    </w:p>
    <w:p>
      <w:pPr>
        <w:spacing w:before="100" w:beforeLines="0" w:after="100" w:afterLines="0" w:line="580" w:lineRule="atLeast"/>
        <w:ind w:firstLine="601"/>
        <w:jc w:val="left"/>
        <w:rPr>
          <w:rFonts w:hint="default" w:ascii="Times New Roman" w:hAnsi="Times New Roman" w:eastAsia="Times New Roman"/>
          <w:color w:val="auto"/>
          <w:kern w:val="0"/>
          <w:sz w:val="32"/>
          <w:szCs w:val="24"/>
        </w:rPr>
      </w:pPr>
      <w:r>
        <w:rPr>
          <w:rFonts w:hint="eastAsia" w:ascii="仿宋_GB2312" w:hAnsi="仿宋_GB2312" w:eastAsia="仿宋_GB2312"/>
          <w:color w:val="auto"/>
          <w:kern w:val="0"/>
          <w:sz w:val="32"/>
          <w:szCs w:val="24"/>
        </w:rPr>
        <w:t>四、财政拨款收入支出决算总表</w:t>
      </w:r>
    </w:p>
    <w:p>
      <w:pPr>
        <w:spacing w:before="100" w:beforeLines="0" w:after="100" w:afterLines="0" w:line="580" w:lineRule="atLeast"/>
        <w:ind w:firstLine="601"/>
        <w:jc w:val="left"/>
        <w:rPr>
          <w:rFonts w:hint="default" w:ascii="Times New Roman" w:hAnsi="Times New Roman" w:eastAsia="Times New Roman"/>
          <w:color w:val="auto"/>
          <w:kern w:val="0"/>
          <w:sz w:val="32"/>
          <w:szCs w:val="24"/>
        </w:rPr>
      </w:pPr>
      <w:r>
        <w:rPr>
          <w:rFonts w:hint="eastAsia" w:ascii="仿宋_GB2312" w:hAnsi="仿宋_GB2312" w:eastAsia="仿宋_GB2312"/>
          <w:color w:val="auto"/>
          <w:kern w:val="0"/>
          <w:sz w:val="32"/>
          <w:szCs w:val="24"/>
        </w:rPr>
        <w:t>五、项目收入支出决算表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六、一般公共预算财政拨款支出决算表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七、一般公共预算财政拨款基本支出决算明细表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八、政府性基金预算财政拨款收入支出决算表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九、国有资本经营预算财政拨款收入支出决算表</w:t>
      </w:r>
    </w:p>
    <w:p>
      <w:pPr>
        <w:spacing w:before="100" w:beforeLines="0" w:after="100" w:afterLines="0" w:line="580" w:lineRule="atLeast"/>
        <w:ind w:firstLine="601"/>
        <w:jc w:val="left"/>
        <w:rPr>
          <w:rFonts w:hint="default" w:ascii="Times New Roman" w:hAnsi="Times New Roman" w:eastAsia="Times New Roman"/>
          <w:color w:val="auto"/>
          <w:kern w:val="0"/>
          <w:sz w:val="32"/>
          <w:szCs w:val="24"/>
        </w:rPr>
      </w:pPr>
      <w:r>
        <w:rPr>
          <w:rFonts w:hint="eastAsia" w:ascii="仿宋_GB2312" w:hAnsi="仿宋_GB2312" w:eastAsia="仿宋_GB2312"/>
          <w:color w:val="auto"/>
          <w:kern w:val="0"/>
          <w:sz w:val="32"/>
          <w:szCs w:val="24"/>
        </w:rPr>
        <w:t>十、财政拨款</w:t>
      </w:r>
      <w:r>
        <w:rPr>
          <w:rFonts w:hint="default" w:ascii="Times New Roman" w:hAnsi="Times New Roman"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ascii="Times New Roman" w:hAnsi="Times New Roman" w:eastAsia="Times New Roman"/>
          <w:color w:val="auto"/>
          <w:kern w:val="0"/>
          <w:sz w:val="32"/>
          <w:szCs w:val="24"/>
        </w:rPr>
        <w:t>”</w:t>
      </w:r>
      <w:r>
        <w:rPr>
          <w:rFonts w:hint="eastAsia" w:ascii="仿宋_GB2312" w:hAnsi="仿宋_GB2312" w:eastAsia="仿宋_GB2312"/>
          <w:color w:val="auto"/>
          <w:kern w:val="0"/>
          <w:sz w:val="32"/>
          <w:szCs w:val="24"/>
        </w:rPr>
        <w:t>经费支出决算表</w:t>
      </w:r>
    </w:p>
    <w:p>
      <w:pPr>
        <w:spacing w:before="100" w:beforeLines="0" w:after="100" w:afterLines="0" w:line="580" w:lineRule="atLeast"/>
        <w:ind w:firstLine="601"/>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十一、机关运行经费支出、国有资产占用情况及政府采购支出信息表</w:t>
      </w:r>
    </w:p>
    <w:p>
      <w:pPr>
        <w:spacing w:before="100" w:beforeLines="0" w:after="100" w:afterLines="0"/>
        <w:ind w:firstLine="601"/>
        <w:jc w:val="left"/>
        <w:rPr>
          <w:rFonts w:hint="default" w:ascii="Times New Roman" w:hAnsi="Times New Roman" w:eastAsia="Times New Roman"/>
          <w:color w:val="auto"/>
          <w:kern w:val="0"/>
          <w:sz w:val="24"/>
          <w:szCs w:val="24"/>
        </w:rPr>
      </w:pPr>
      <w:r>
        <w:rPr>
          <w:rFonts w:hint="default" w:ascii="Times New Roman" w:hAnsi="Times New Roman" w:eastAsia="Times New Roman"/>
          <w:b/>
          <w:color w:val="auto"/>
          <w:kern w:val="0"/>
          <w:sz w:val="44"/>
          <w:szCs w:val="24"/>
        </w:rPr>
        <w:t xml:space="preserve"> </w:t>
      </w:r>
    </w:p>
    <w:p>
      <w:pPr>
        <w:spacing w:beforeLines="0" w:afterLines="0"/>
        <w:jc w:val="left"/>
        <w:rPr>
          <w:rFonts w:hint="eastAsia" w:ascii="宋体" w:hAnsi="宋体"/>
          <w:color w:val="auto"/>
          <w:kern w:val="0"/>
          <w:sz w:val="24"/>
          <w:szCs w:val="24"/>
        </w:rPr>
      </w:pPr>
      <w:r>
        <w:rPr>
          <w:rFonts w:hint="default" w:ascii="Times New Roman" w:hAnsi="Times New Roman" w:eastAsia="Times New Roman"/>
          <w:color w:val="auto"/>
          <w:kern w:val="0"/>
          <w:sz w:val="24"/>
          <w:szCs w:val="24"/>
        </w:rPr>
        <w:t xml:space="preserve"> </w:t>
      </w:r>
      <w:r>
        <w:rPr>
          <w:rFonts w:hint="eastAsia" w:ascii="宋体" w:hAnsi="宋体"/>
          <w:color w:val="auto"/>
          <w:kern w:val="0"/>
          <w:sz w:val="24"/>
          <w:szCs w:val="24"/>
        </w:rPr>
        <w:t xml:space="preserve"> </w:t>
      </w:r>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eastAsia" w:ascii="仿宋_GB2312" w:hAnsi="仿宋_GB2312" w:eastAsia="仿宋_GB2312"/>
          <w:b/>
          <w:color w:val="auto"/>
          <w:kern w:val="0"/>
          <w:sz w:val="32"/>
          <w:szCs w:val="24"/>
        </w:rPr>
        <w:t>第一部分 部门基本情况</w:t>
      </w:r>
    </w:p>
    <w:p>
      <w:pPr>
        <w:keepNext w:val="0"/>
        <w:keepLines w:val="0"/>
        <w:pageBreakBefore w:val="0"/>
        <w:widowControl/>
        <w:kinsoku/>
        <w:wordWrap/>
        <w:overflowPunct/>
        <w:topLinePunct w:val="0"/>
        <w:autoSpaceDE/>
        <w:autoSpaceDN/>
        <w:bidi w:val="0"/>
        <w:adjustRightInd/>
        <w:snapToGrid/>
        <w:spacing w:before="100" w:beforeLines="0" w:after="100" w:afterLines="0" w:line="600" w:lineRule="exact"/>
        <w:ind w:firstLine="600"/>
        <w:jc w:val="left"/>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一、主要职能职责</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一）贯彻执行国家、自治区、呼伦贝尔市关于审计工作的法律法规及有关政策。拟订全旗审计工作政策和制度并监督执行。制定并组织实施专业领域审计工作规划。对直接审计、调查和核查的事项依法进行审计评价，作出审计决定或提出审计建议。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二）主管全旗审计工作。负责全旗财政收支和法律法规规定属于审计监督范围的财务收支的真实、合法和效益的审计监督工作。负责公共资金、国有资产、国有资源等审计全覆盖工作。负责国家、自治区、呼伦贝尔市及鄂温克旗有关重大政策措施贯彻落实情况跟踪审计工作。对审计、专项审计调查和核查社会审计机构相关审计报告的结果负责，督促被审计单位问题整改。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三）负责提出审计报告和公布审计结果工作。向旗委审计委员会、旗政府提出年度旗本级预算执行和其他财政支出情况审计结果报告。受旗政府委托向旗人大常委会提出旗本级预算执行和其他财政收支情况的审计工作报告、审计查出问题整改情况报告。向旗委、政府报告对其他事项的审计和专项审计调查情况及结果。依法向社会公布审计结果。向旗委和政府有关部门通报审计情况和审计结果。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四）按管理权限作出审计决定，出具审计报告。对国家、自治区、呼伦贝尔市及鄂温克族自治旗有关重大政策措施贯彻落实情况；旗本级预算执行情况和其他财政收支，旗委、政府各部门预算执行情况、决算草案和其他财政收支；使用上级及旗本级财政资金的单位和社会团体的财务收支；国家投资、自治区投资、呼伦贝尔市投资、鄂温克旗投资和以国家、自治区、呼伦贝尔市、鄂温克旗投资为主的建设项目的预算执行情况和决算，旗属国有单位自筹基本建设项目的资金管理使用和建设运营情况；自然资源管理、污染防治和生态保护与修复情况；旗属国有企业和金融机构、旗政府规定的国有资本占控股或主导地位的企业和金融机构资产、负债和损益，有关社会保障基金、社会捐赠资金和其他基金、资金的财务收支；国际组织和外国政府援助、贷款项目等作出审计决定。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（五）按规定对旗直各部门党政领导及其他单位主要负责人实施经济责任审计和自然资源资产离任（任中）审计。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（六）组织实施审计调查工作。组织实施财经法律法规、 规章、政策和宏观调控措施执行情况、财政预算管理及国有资产管理使用等审计调查工作，负责国家财政收支有关的特定事项专项审计调查。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七）组织实施审计执法工作。依法检查审计决定执行情况，督促整改审计查出的问题，依法办理被审计单位对审计决定提请行政复议、行政诉讼或旗政府裁决中的有关事项，协助配合有关部门查处相关重大案件。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（八）指导和监督内部审计工作。依法核查全旗社会审计机构对依法属于审计监督对象的单位出具的相关审计报告。</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 xml:space="preserve">（九）完成旗委、政府和上级业务部门交办的其他工作。 </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十）职能转变。进一步推动完善审计管理体制，加强全旗审计工作统筹，明晰审计机关职能定位，理顺内部职责关系，优化审计资源配置，充实加强一线审计力量，构建集中统一、全面覆盖、权威高效的审计监督体系。优化审计工作机制，坚持科技强审，完善业务流程，改进工作方式，加强与相关部门的沟通协调，充分调动内部审计和社会审计力量，增强监督合力。</w:t>
      </w:r>
    </w:p>
    <w:p>
      <w:pPr>
        <w:keepNext w:val="0"/>
        <w:keepLines w:val="0"/>
        <w:pageBreakBefore w:val="0"/>
        <w:widowControl/>
        <w:kinsoku/>
        <w:wordWrap/>
        <w:overflowPunct/>
        <w:topLinePunct w:val="0"/>
        <w:autoSpaceDE/>
        <w:autoSpaceDN/>
        <w:bidi w:val="0"/>
        <w:adjustRightInd/>
        <w:snapToGrid/>
        <w:spacing w:beforeLines="0" w:afterLines="0" w:line="240" w:lineRule="auto"/>
        <w:ind w:firstLine="640" w:firstLineChars="200"/>
        <w:jc w:val="left"/>
        <w:textAlignment w:val="auto"/>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二、部门机构设置及决算单位构成情况</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rPr>
        <w:t>1.根据部门职责分工，本部门内设机构包括</w:t>
      </w:r>
      <w:r>
        <w:rPr>
          <w:rFonts w:hint="eastAsia" w:ascii="仿宋_GB2312" w:hAnsi="仿宋_GB2312" w:eastAsia="仿宋_GB2312"/>
          <w:color w:val="auto"/>
          <w:kern w:val="0"/>
          <w:sz w:val="32"/>
          <w:szCs w:val="24"/>
          <w:lang w:val="en-US" w:eastAsia="zh-CN"/>
        </w:rPr>
        <w:t>鄂温克族自治旗审计事业服务中心</w:t>
      </w:r>
      <w:r>
        <w:rPr>
          <w:rFonts w:hint="eastAsia" w:ascii="仿宋_GB2312" w:hAnsi="仿宋_GB2312" w:eastAsia="仿宋_GB2312"/>
          <w:color w:val="auto"/>
          <w:kern w:val="0"/>
          <w:sz w:val="32"/>
          <w:szCs w:val="24"/>
        </w:rPr>
        <w:t>。本部门</w:t>
      </w:r>
      <w:r>
        <w:rPr>
          <w:rFonts w:hint="eastAsia" w:ascii="仿宋_GB2312" w:hAnsi="仿宋_GB2312" w:eastAsia="仿宋_GB2312"/>
          <w:color w:val="auto"/>
          <w:kern w:val="0"/>
          <w:sz w:val="32"/>
          <w:szCs w:val="24"/>
          <w:lang w:val="en-US" w:eastAsia="zh-CN"/>
        </w:rPr>
        <w:t>无</w:t>
      </w:r>
      <w:r>
        <w:rPr>
          <w:rFonts w:hint="eastAsia" w:ascii="仿宋_GB2312" w:hAnsi="仿宋_GB2312" w:eastAsia="仿宋_GB2312"/>
          <w:color w:val="auto"/>
          <w:kern w:val="0"/>
          <w:sz w:val="32"/>
          <w:szCs w:val="24"/>
        </w:rPr>
        <w:t>下属单位。</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lang w:eastAsia="zh-CN"/>
        </w:rPr>
      </w:pPr>
      <w:r>
        <w:rPr>
          <w:rFonts w:hint="eastAsia" w:ascii="仿宋_GB2312" w:hAnsi="仿宋_GB2312" w:eastAsia="仿宋_GB2312"/>
          <w:color w:val="auto"/>
          <w:kern w:val="0"/>
          <w:sz w:val="32"/>
          <w:szCs w:val="24"/>
        </w:rPr>
        <w:t>2.从决算单位构成看，</w:t>
      </w:r>
      <w:r>
        <w:rPr>
          <w:rFonts w:hint="eastAsia" w:ascii="仿宋_GB2312" w:hAnsi="仿宋_GB2312" w:eastAsia="仿宋_GB2312"/>
          <w:color w:val="auto"/>
          <w:kern w:val="0"/>
          <w:sz w:val="32"/>
          <w:szCs w:val="24"/>
        </w:rPr>
        <w:t>本部门无下级预算单位</w:t>
      </w: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无</w:t>
      </w:r>
      <w:r>
        <w:rPr>
          <w:rFonts w:hint="eastAsia" w:ascii="仿宋_GB2312" w:hAnsi="仿宋_GB2312" w:eastAsia="仿宋_GB2312"/>
          <w:color w:val="auto"/>
          <w:kern w:val="0"/>
          <w:sz w:val="32"/>
          <w:szCs w:val="24"/>
        </w:rPr>
        <w:t>纳入2021年度</w:t>
      </w:r>
      <w:r>
        <w:rPr>
          <w:rFonts w:hint="eastAsia" w:ascii="仿宋_GB2312" w:hAnsi="仿宋_GB2312" w:eastAsia="仿宋_GB2312"/>
          <w:color w:val="auto"/>
          <w:kern w:val="0"/>
          <w:sz w:val="32"/>
          <w:szCs w:val="24"/>
          <w:lang w:val="en-US" w:eastAsia="zh-CN"/>
        </w:rPr>
        <w:t>本</w:t>
      </w:r>
      <w:r>
        <w:rPr>
          <w:rFonts w:hint="eastAsia" w:ascii="仿宋_GB2312" w:hAnsi="仿宋_GB2312" w:eastAsia="仿宋_GB2312"/>
          <w:color w:val="auto"/>
          <w:kern w:val="0"/>
          <w:sz w:val="32"/>
          <w:szCs w:val="24"/>
        </w:rPr>
        <w:t>部门汇总决算编制范围的预算单位</w:t>
      </w:r>
      <w:r>
        <w:rPr>
          <w:rFonts w:hint="eastAsia" w:ascii="仿宋_GB2312" w:hAnsi="仿宋_GB2312" w:eastAsia="仿宋_GB2312"/>
          <w:color w:val="auto"/>
          <w:kern w:val="0"/>
          <w:sz w:val="32"/>
          <w:szCs w:val="24"/>
          <w:lang w:eastAsia="zh-CN"/>
        </w:rPr>
        <w:t>。</w:t>
      </w:r>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eastAsia" w:ascii="仿宋_GB2312" w:hAnsi="仿宋_GB2312" w:eastAsia="仿宋_GB2312"/>
          <w:b/>
          <w:color w:val="auto"/>
          <w:kern w:val="0"/>
          <w:sz w:val="32"/>
          <w:szCs w:val="24"/>
        </w:rPr>
        <w:t>第二部分 2021年度部门决算情况说明</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仿宋_GB2312" w:hAnsi="仿宋_GB2312" w:eastAsia="仿宋_GB2312"/>
          <w:b/>
          <w:color w:val="auto"/>
          <w:kern w:val="0"/>
          <w:sz w:val="32"/>
          <w:szCs w:val="24"/>
        </w:rPr>
        <w:t>一、关于2021年度预算执行情况分析</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rPr>
        <w:t>2021年度收入、支出决算总计498.72万元。与年初预算相比，收、支总计增加58.5万元，增长13.29%，变动原因：</w:t>
      </w:r>
      <w:r>
        <w:rPr>
          <w:rFonts w:hint="eastAsia" w:ascii="仿宋_GB2312" w:hAnsi="仿宋_GB2312" w:eastAsia="仿宋_GB2312"/>
          <w:color w:val="auto"/>
          <w:kern w:val="0"/>
          <w:sz w:val="32"/>
          <w:szCs w:val="24"/>
          <w:lang w:val="en-US" w:eastAsia="zh-CN"/>
        </w:rPr>
        <w:t>2021年度支付中介审计服务费较2020年度有所提升</w:t>
      </w:r>
      <w:r>
        <w:rPr>
          <w:rFonts w:hint="eastAsia" w:ascii="仿宋_GB2312" w:hAnsi="仿宋_GB2312" w:eastAsia="仿宋_GB2312"/>
          <w:color w:val="auto"/>
          <w:kern w:val="0"/>
          <w:sz w:val="32"/>
          <w:szCs w:val="24"/>
        </w:rPr>
        <w:t>。</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jc w:val="left"/>
        <w:textAlignment w:val="auto"/>
        <w:rPr>
          <w:rFonts w:hint="eastAsia" w:ascii="仿宋_GB2312" w:hAnsi="仿宋_GB2312" w:eastAsia="仿宋_GB2312"/>
          <w:color w:val="auto"/>
          <w:kern w:val="0"/>
          <w:sz w:val="32"/>
          <w:szCs w:val="24"/>
          <w:lang w:eastAsia="zh-CN"/>
        </w:rPr>
      </w:pPr>
      <w:r>
        <w:rPr>
          <w:rFonts w:hint="eastAsia" w:ascii="仿宋_GB2312" w:hAnsi="仿宋_GB2312" w:eastAsia="仿宋_GB2312"/>
          <w:color w:val="auto"/>
          <w:kern w:val="0"/>
          <w:sz w:val="32"/>
          <w:szCs w:val="24"/>
        </w:rPr>
        <w:t>2021年度财政拨款收入、支出决算总计427.59万元。与年初预算相比，收、支总计减少-12.62万元，减少-2.87%，变动原因：</w:t>
      </w:r>
      <w:r>
        <w:rPr>
          <w:rFonts w:hint="eastAsia" w:ascii="仿宋_GB2312" w:hAnsi="仿宋_GB2312" w:eastAsia="仿宋_GB2312"/>
          <w:color w:val="auto"/>
          <w:kern w:val="0"/>
          <w:sz w:val="32"/>
          <w:szCs w:val="24"/>
          <w:lang w:val="en-US" w:eastAsia="zh-CN"/>
        </w:rPr>
        <w:t>一是</w:t>
      </w:r>
      <w:r>
        <w:rPr>
          <w:rFonts w:hint="eastAsia" w:ascii="仿宋_GB2312" w:hAnsi="仿宋_GB2312" w:eastAsia="仿宋_GB2312"/>
          <w:color w:val="auto"/>
          <w:kern w:val="0"/>
          <w:sz w:val="32"/>
          <w:szCs w:val="24"/>
        </w:rPr>
        <w:t>政府提倡“过紧日 子”，进一步压缩公用经费</w:t>
      </w: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二是由于</w:t>
      </w:r>
      <w:r>
        <w:rPr>
          <w:rFonts w:hint="eastAsia" w:ascii="仿宋_GB2312" w:hAnsi="仿宋_GB2312" w:eastAsia="仿宋_GB2312"/>
          <w:color w:val="auto"/>
          <w:kern w:val="0"/>
          <w:sz w:val="32"/>
          <w:szCs w:val="24"/>
        </w:rPr>
        <w:t>受疫情影响，</w:t>
      </w:r>
      <w:r>
        <w:rPr>
          <w:rFonts w:hint="eastAsia" w:ascii="仿宋_GB2312" w:hAnsi="仿宋_GB2312" w:eastAsia="仿宋_GB2312"/>
          <w:color w:val="auto"/>
          <w:kern w:val="0"/>
          <w:sz w:val="32"/>
          <w:szCs w:val="24"/>
          <w:lang w:val="en-US" w:eastAsia="zh-CN"/>
        </w:rPr>
        <w:t>差旅费、办公费等支出</w:t>
      </w:r>
      <w:r>
        <w:rPr>
          <w:rFonts w:hint="eastAsia" w:ascii="仿宋_GB2312" w:hAnsi="仿宋_GB2312" w:eastAsia="仿宋_GB2312"/>
          <w:color w:val="auto"/>
          <w:kern w:val="0"/>
          <w:sz w:val="32"/>
          <w:szCs w:val="24"/>
        </w:rPr>
        <w:t>减少</w:t>
      </w:r>
      <w:r>
        <w:rPr>
          <w:rFonts w:hint="eastAsia" w:ascii="仿宋_GB2312" w:hAnsi="仿宋_GB2312" w:eastAsia="仿宋_GB2312"/>
          <w:color w:val="auto"/>
          <w:kern w:val="0"/>
          <w:sz w:val="32"/>
          <w:szCs w:val="24"/>
          <w:lang w:eastAsia="zh-CN"/>
        </w:rPr>
        <w:t>。</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仿宋_GB2312" w:hAnsi="仿宋_GB2312" w:eastAsia="仿宋_GB2312"/>
          <w:b/>
          <w:color w:val="auto"/>
          <w:kern w:val="0"/>
          <w:sz w:val="32"/>
          <w:szCs w:val="24"/>
        </w:rPr>
        <w:t>二、关于2021年度决算情况说明</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（一）关于收支情况总体说明</w:t>
      </w:r>
    </w:p>
    <w:p>
      <w:pPr>
        <w:spacing w:before="100" w:beforeLines="0" w:after="100" w:afterLines="0" w:line="580" w:lineRule="atLeast"/>
        <w:ind w:firstLine="600"/>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本部门2021年度收入总计</w:t>
      </w:r>
      <w:r>
        <w:rPr>
          <w:rFonts w:hint="eastAsia" w:ascii="仿宋_GB2312" w:hAnsi="仿宋_GB2312" w:eastAsia="仿宋_GB2312"/>
          <w:color w:val="auto"/>
          <w:kern w:val="0"/>
          <w:sz w:val="32"/>
          <w:szCs w:val="24"/>
        </w:rPr>
        <w:t>498.72</w:t>
      </w:r>
      <w:r>
        <w:rPr>
          <w:rFonts w:hint="eastAsia" w:ascii="仿宋_GB2312" w:hAnsi="仿宋_GB2312" w:eastAsia="仿宋_GB2312"/>
          <w:color w:val="auto"/>
          <w:kern w:val="0"/>
          <w:sz w:val="32"/>
          <w:szCs w:val="24"/>
        </w:rPr>
        <w:t>万元，其中：本年收入合计</w:t>
      </w:r>
      <w:r>
        <w:rPr>
          <w:rFonts w:hint="eastAsia" w:ascii="仿宋_GB2312" w:hAnsi="仿宋_GB2312" w:eastAsia="仿宋_GB2312"/>
          <w:color w:val="auto"/>
          <w:kern w:val="0"/>
          <w:sz w:val="32"/>
          <w:szCs w:val="24"/>
        </w:rPr>
        <w:t>427.76</w:t>
      </w:r>
      <w:r>
        <w:rPr>
          <w:rFonts w:hint="eastAsia" w:ascii="仿宋_GB2312" w:hAnsi="仿宋_GB2312" w:eastAsia="仿宋_GB2312"/>
          <w:color w:val="auto"/>
          <w:kern w:val="0"/>
          <w:sz w:val="32"/>
          <w:szCs w:val="24"/>
        </w:rPr>
        <w:t>万元，使用非财政拨款结余</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万元，年初结转和结余</w:t>
      </w:r>
      <w:r>
        <w:rPr>
          <w:rFonts w:hint="eastAsia" w:ascii="仿宋_GB2312" w:hAnsi="仿宋_GB2312" w:eastAsia="仿宋_GB2312"/>
          <w:color w:val="auto"/>
          <w:kern w:val="0"/>
          <w:sz w:val="32"/>
          <w:szCs w:val="24"/>
        </w:rPr>
        <w:t>70.96</w:t>
      </w:r>
      <w:r>
        <w:rPr>
          <w:rFonts w:hint="eastAsia" w:ascii="仿宋_GB2312" w:hAnsi="仿宋_GB2312" w:eastAsia="仿宋_GB2312"/>
          <w:color w:val="auto"/>
          <w:kern w:val="0"/>
          <w:sz w:val="32"/>
          <w:szCs w:val="24"/>
        </w:rPr>
        <w:t>万元；支出总计</w:t>
      </w:r>
      <w:r>
        <w:rPr>
          <w:rFonts w:hint="eastAsia" w:ascii="仿宋_GB2312" w:hAnsi="仿宋_GB2312" w:eastAsia="仿宋_GB2312"/>
          <w:color w:val="auto"/>
          <w:kern w:val="0"/>
          <w:sz w:val="32"/>
          <w:szCs w:val="24"/>
        </w:rPr>
        <w:t>498.72</w:t>
      </w:r>
      <w:r>
        <w:rPr>
          <w:rFonts w:hint="eastAsia" w:ascii="仿宋_GB2312" w:hAnsi="仿宋_GB2312" w:eastAsia="仿宋_GB2312"/>
          <w:color w:val="auto"/>
          <w:kern w:val="0"/>
          <w:sz w:val="32"/>
          <w:szCs w:val="24"/>
        </w:rPr>
        <w:t>万元，其中：结余分配</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万元，年末结转和结余</w:t>
      </w:r>
      <w:r>
        <w:rPr>
          <w:rFonts w:hint="eastAsia" w:ascii="仿宋_GB2312" w:hAnsi="仿宋_GB2312" w:eastAsia="仿宋_GB2312"/>
          <w:color w:val="auto"/>
          <w:kern w:val="0"/>
          <w:sz w:val="32"/>
          <w:szCs w:val="24"/>
        </w:rPr>
        <w:t>56.73</w:t>
      </w:r>
      <w:r>
        <w:rPr>
          <w:rFonts w:hint="eastAsia" w:ascii="仿宋_GB2312" w:hAnsi="仿宋_GB2312" w:eastAsia="仿宋_GB2312"/>
          <w:color w:val="auto"/>
          <w:kern w:val="0"/>
          <w:sz w:val="32"/>
          <w:szCs w:val="24"/>
        </w:rPr>
        <w:t>万元。与2020年度相比，收入支出总计</w:t>
      </w:r>
      <w:r>
        <w:rPr>
          <w:rFonts w:hint="eastAsia" w:ascii="仿宋_GB2312" w:hAnsi="仿宋_GB2312" w:eastAsia="仿宋_GB2312"/>
          <w:color w:val="auto"/>
          <w:kern w:val="0"/>
          <w:sz w:val="32"/>
          <w:szCs w:val="24"/>
        </w:rPr>
        <w:t>增加82.31</w:t>
      </w:r>
      <w:r>
        <w:rPr>
          <w:rFonts w:hint="eastAsia" w:ascii="仿宋_GB2312" w:hAnsi="仿宋_GB2312" w:eastAsia="仿宋_GB2312"/>
          <w:color w:val="auto"/>
          <w:kern w:val="0"/>
          <w:sz w:val="32"/>
          <w:szCs w:val="24"/>
        </w:rPr>
        <w:t>万元，</w:t>
      </w:r>
      <w:r>
        <w:rPr>
          <w:rFonts w:hint="eastAsia" w:ascii="仿宋_GB2312" w:hAnsi="仿宋_GB2312" w:eastAsia="仿宋_GB2312"/>
          <w:color w:val="auto"/>
          <w:kern w:val="0"/>
          <w:sz w:val="32"/>
          <w:szCs w:val="24"/>
        </w:rPr>
        <w:t>增长19.77</w:t>
      </w:r>
      <w:r>
        <w:rPr>
          <w:rFonts w:hint="eastAsia"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主要原因：</w:t>
      </w:r>
      <w:r>
        <w:rPr>
          <w:rFonts w:hint="eastAsia" w:ascii="仿宋_GB2312" w:hAnsi="仿宋_GB2312" w:eastAsia="仿宋_GB2312"/>
          <w:color w:val="auto"/>
          <w:kern w:val="0"/>
          <w:sz w:val="32"/>
          <w:szCs w:val="24"/>
          <w:lang w:val="en-US" w:eastAsia="zh-CN"/>
        </w:rPr>
        <w:t>中介审计服务费较上年度大幅增长</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（二）关于2021年度收入决算情况说明</w:t>
      </w:r>
    </w:p>
    <w:p>
      <w:pPr>
        <w:spacing w:before="100" w:beforeLines="0" w:after="100" w:afterLines="0" w:line="580" w:lineRule="atLeast"/>
        <w:ind w:firstLine="600"/>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本部门2021年度收入合计</w:t>
      </w:r>
      <w:r>
        <w:rPr>
          <w:rFonts w:hint="eastAsia" w:ascii="仿宋_GB2312" w:hAnsi="仿宋_GB2312" w:eastAsia="仿宋_GB2312"/>
          <w:color w:val="auto"/>
          <w:kern w:val="0"/>
          <w:sz w:val="32"/>
          <w:szCs w:val="24"/>
        </w:rPr>
        <w:t>427.76</w:t>
      </w:r>
      <w:r>
        <w:rPr>
          <w:rFonts w:hint="eastAsia" w:ascii="仿宋_GB2312" w:hAnsi="仿宋_GB2312" w:eastAsia="仿宋_GB2312"/>
          <w:color w:val="auto"/>
          <w:kern w:val="0"/>
          <w:sz w:val="32"/>
          <w:szCs w:val="24"/>
        </w:rPr>
        <w:t>万元，其中</w:t>
      </w: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rPr>
        <w:t>财政拨款收入</w:t>
      </w:r>
      <w:r>
        <w:rPr>
          <w:rFonts w:hint="eastAsia" w:ascii="仿宋_GB2312" w:hAnsi="仿宋_GB2312" w:eastAsia="仿宋_GB2312"/>
          <w:color w:val="auto"/>
          <w:kern w:val="0"/>
          <w:sz w:val="32"/>
          <w:szCs w:val="24"/>
        </w:rPr>
        <w:t>427.59</w:t>
      </w:r>
      <w:r>
        <w:rPr>
          <w:rFonts w:hint="eastAsia" w:ascii="仿宋_GB2312" w:hAnsi="仿宋_GB2312" w:eastAsia="仿宋_GB2312"/>
          <w:color w:val="auto"/>
          <w:kern w:val="0"/>
          <w:sz w:val="32"/>
          <w:szCs w:val="24"/>
        </w:rPr>
        <w:t>万元，占</w:t>
      </w:r>
      <w:r>
        <w:rPr>
          <w:rFonts w:hint="eastAsia" w:ascii="仿宋_GB2312" w:hAnsi="仿宋_GB2312" w:eastAsia="仿宋_GB2312"/>
          <w:color w:val="auto"/>
          <w:kern w:val="0"/>
          <w:sz w:val="32"/>
          <w:szCs w:val="24"/>
        </w:rPr>
        <w:t>99.96</w:t>
      </w:r>
      <w:r>
        <w:rPr>
          <w:rFonts w:hint="eastAsia" w:ascii="仿宋_GB2312" w:hAnsi="仿宋_GB2312" w:eastAsia="仿宋_GB2312"/>
          <w:color w:val="auto"/>
          <w:kern w:val="0"/>
          <w:sz w:val="32"/>
          <w:szCs w:val="24"/>
        </w:rPr>
        <w:t>%；其他收入</w:t>
      </w:r>
      <w:r>
        <w:rPr>
          <w:rFonts w:hint="eastAsia" w:ascii="仿宋_GB2312" w:hAnsi="仿宋_GB2312" w:eastAsia="仿宋_GB2312"/>
          <w:color w:val="auto"/>
          <w:kern w:val="0"/>
          <w:sz w:val="32"/>
          <w:szCs w:val="24"/>
        </w:rPr>
        <w:t>0.16</w:t>
      </w:r>
      <w:r>
        <w:rPr>
          <w:rFonts w:hint="eastAsia" w:ascii="仿宋_GB2312" w:hAnsi="仿宋_GB2312" w:eastAsia="仿宋_GB2312"/>
          <w:color w:val="auto"/>
          <w:kern w:val="0"/>
          <w:sz w:val="32"/>
          <w:szCs w:val="24"/>
        </w:rPr>
        <w:t>万元，占</w:t>
      </w:r>
      <w:r>
        <w:rPr>
          <w:rFonts w:hint="eastAsia" w:ascii="仿宋_GB2312" w:hAnsi="仿宋_GB2312" w:eastAsia="仿宋_GB2312"/>
          <w:color w:val="auto"/>
          <w:kern w:val="0"/>
          <w:sz w:val="32"/>
          <w:szCs w:val="24"/>
        </w:rPr>
        <w:t>0.04</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eastAsia" w:ascii="仿宋_GB2312" w:hAnsi="仿宋_GB2312" w:eastAsia="仿宋_GB2312"/>
          <w:color w:val="auto"/>
          <w:kern w:val="0"/>
          <w:sz w:val="32"/>
          <w:szCs w:val="24"/>
          <w:lang w:eastAsia="zh-CN"/>
        </w:rPr>
      </w:pPr>
      <w:r>
        <w:rPr>
          <w:rFonts w:hint="eastAsia" w:ascii="仿宋_GB2312" w:hAnsi="仿宋_GB2312" w:eastAsia="仿宋_GB2312"/>
          <w:color w:val="auto"/>
          <w:kern w:val="0"/>
          <w:sz w:val="32"/>
          <w:szCs w:val="24"/>
          <w:lang w:eastAsia="zh-CN"/>
        </w:rPr>
        <w:drawing>
          <wp:inline distT="0" distB="0" distL="114300" distR="114300">
            <wp:extent cx="3716655" cy="2400935"/>
            <wp:effectExtent l="4445" t="4445" r="12700" b="76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spacing w:before="100" w:beforeLines="0" w:after="100" w:afterLines="0" w:line="580" w:lineRule="atLeast"/>
        <w:ind w:firstLine="600"/>
        <w:rPr>
          <w:rFonts w:hint="default" w:ascii="Times New Roman" w:hAnsi="Times New Roman" w:eastAsia="Times New Roman"/>
          <w:color w:val="auto"/>
          <w:sz w:val="32"/>
          <w:szCs w:val="24"/>
        </w:rPr>
      </w:pPr>
      <w:r>
        <w:rPr>
          <w:rFonts w:hint="eastAsia" w:ascii="仿宋" w:hAnsi="仿宋" w:eastAsia="仿宋"/>
          <w:color w:val="auto"/>
          <w:sz w:val="32"/>
          <w:szCs w:val="24"/>
        </w:rPr>
        <w:t>图1：收入决算图</w:t>
      </w:r>
    </w:p>
    <w:p>
      <w:pPr>
        <w:spacing w:before="100" w:beforeLines="0" w:after="100" w:afterLines="0" w:line="580" w:lineRule="atLeast"/>
        <w:ind w:firstLine="600"/>
        <w:rPr>
          <w:rFonts w:hint="default" w:ascii="Times New Roman" w:hAnsi="Times New Roman" w:eastAsia="Times New Roman"/>
          <w:color w:val="auto"/>
          <w:kern w:val="0"/>
          <w:sz w:val="24"/>
          <w:szCs w:val="24"/>
        </w:rPr>
      </w:pP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（三）关于2021年度支出决算情况说明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本部门2021年度支出合计</w:t>
      </w:r>
      <w:r>
        <w:rPr>
          <w:rFonts w:hint="eastAsia" w:ascii="仿宋_GB2312" w:hAnsi="仿宋_GB2312" w:eastAsia="仿宋_GB2312"/>
          <w:color w:val="auto"/>
          <w:kern w:val="0"/>
          <w:sz w:val="32"/>
          <w:szCs w:val="24"/>
        </w:rPr>
        <w:t>441.99</w:t>
      </w:r>
      <w:r>
        <w:rPr>
          <w:rFonts w:hint="eastAsia" w:ascii="仿宋_GB2312" w:hAnsi="仿宋_GB2312" w:eastAsia="仿宋_GB2312"/>
          <w:color w:val="auto"/>
          <w:kern w:val="0"/>
          <w:sz w:val="32"/>
          <w:szCs w:val="24"/>
        </w:rPr>
        <w:t>万元，</w:t>
      </w:r>
      <w:r>
        <w:rPr>
          <w:rFonts w:hint="eastAsia" w:ascii="仿宋_GB2312" w:hAnsi="仿宋_GB2312" w:eastAsia="仿宋_GB2312"/>
          <w:color w:val="auto"/>
          <w:kern w:val="0"/>
          <w:sz w:val="32"/>
          <w:szCs w:val="24"/>
          <w:lang w:val="en-US" w:eastAsia="zh-CN"/>
        </w:rPr>
        <w:t>全部为</w:t>
      </w:r>
      <w:r>
        <w:rPr>
          <w:rFonts w:hint="eastAsia" w:ascii="仿宋_GB2312" w:hAnsi="仿宋_GB2312" w:eastAsia="仿宋_GB2312"/>
          <w:color w:val="auto"/>
          <w:kern w:val="0"/>
          <w:sz w:val="32"/>
          <w:szCs w:val="24"/>
        </w:rPr>
        <w:t>基本支出</w:t>
      </w:r>
      <w:r>
        <w:rPr>
          <w:rFonts w:hint="eastAsia" w:ascii="仿宋_GB2312" w:hAnsi="仿宋_GB2312" w:eastAsia="仿宋_GB2312"/>
          <w:color w:val="auto"/>
          <w:kern w:val="0"/>
          <w:sz w:val="32"/>
          <w:szCs w:val="24"/>
        </w:rPr>
        <w:t>441.99</w:t>
      </w:r>
      <w:r>
        <w:rPr>
          <w:rFonts w:hint="eastAsia" w:ascii="仿宋_GB2312" w:hAnsi="仿宋_GB2312" w:eastAsia="仿宋_GB2312"/>
          <w:color w:val="auto"/>
          <w:kern w:val="0"/>
          <w:sz w:val="32"/>
          <w:szCs w:val="24"/>
        </w:rPr>
        <w:t>万元，占</w:t>
      </w:r>
      <w:r>
        <w:rPr>
          <w:rFonts w:hint="eastAsia" w:ascii="仿宋_GB2312" w:hAnsi="仿宋_GB2312" w:eastAsia="仿宋_GB2312"/>
          <w:color w:val="auto"/>
          <w:kern w:val="0"/>
          <w:sz w:val="32"/>
          <w:szCs w:val="24"/>
        </w:rPr>
        <w:t>100</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eastAsia" w:ascii="仿宋_GB2312" w:hAnsi="仿宋_GB2312" w:eastAsia="仿宋_GB2312"/>
          <w:color w:val="auto"/>
          <w:kern w:val="0"/>
          <w:sz w:val="32"/>
          <w:szCs w:val="24"/>
          <w:lang w:eastAsia="zh-CN"/>
        </w:rPr>
      </w:pPr>
      <w:r>
        <w:rPr>
          <w:rFonts w:hint="eastAsia" w:ascii="仿宋_GB2312" w:hAnsi="仿宋_GB2312" w:eastAsia="仿宋_GB2312"/>
          <w:color w:val="auto"/>
          <w:kern w:val="0"/>
          <w:sz w:val="32"/>
          <w:szCs w:val="24"/>
          <w:lang w:eastAsia="zh-CN"/>
        </w:rPr>
        <w:drawing>
          <wp:inline distT="0" distB="0" distL="114300" distR="114300">
            <wp:extent cx="3835400" cy="2489835"/>
            <wp:effectExtent l="4445" t="4445" r="8255" b="762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spacing w:beforeLines="0" w:afterLines="0" w:line="560" w:lineRule="exact"/>
        <w:ind w:firstLine="640"/>
        <w:rPr>
          <w:rFonts w:hint="default" w:ascii="Times New Roman" w:hAnsi="Times New Roman" w:eastAsia="Times New Roman"/>
          <w:color w:val="auto"/>
          <w:sz w:val="32"/>
          <w:szCs w:val="24"/>
        </w:rPr>
      </w:pPr>
      <w:r>
        <w:rPr>
          <w:rFonts w:hint="eastAsia" w:ascii="仿宋" w:hAnsi="仿宋" w:eastAsia="仿宋"/>
          <w:color w:val="auto"/>
          <w:sz w:val="32"/>
          <w:szCs w:val="24"/>
        </w:rPr>
        <w:t>图2：支出决算图</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（四）关于2021年度财政拨款收入支出决算总体情况说明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本部门2021年度财政拨款收入总计</w:t>
      </w:r>
      <w:r>
        <w:rPr>
          <w:rFonts w:hint="eastAsia" w:ascii="仿宋_GB2312" w:hAnsi="仿宋_GB2312" w:eastAsia="仿宋_GB2312"/>
          <w:color w:val="auto"/>
          <w:kern w:val="0"/>
          <w:sz w:val="32"/>
          <w:szCs w:val="24"/>
        </w:rPr>
        <w:t>427.59</w:t>
      </w:r>
      <w:r>
        <w:rPr>
          <w:rFonts w:hint="eastAsia" w:ascii="仿宋_GB2312" w:hAnsi="仿宋_GB2312" w:eastAsia="仿宋_GB2312"/>
          <w:color w:val="auto"/>
          <w:kern w:val="0"/>
          <w:sz w:val="32"/>
          <w:szCs w:val="24"/>
        </w:rPr>
        <w:t>万元，其中：年初结转和结余</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万元；支出总计</w:t>
      </w:r>
      <w:r>
        <w:rPr>
          <w:rFonts w:hint="eastAsia" w:ascii="仿宋_GB2312" w:hAnsi="仿宋_GB2312" w:eastAsia="仿宋_GB2312"/>
          <w:color w:val="auto"/>
          <w:kern w:val="0"/>
          <w:sz w:val="32"/>
          <w:szCs w:val="24"/>
        </w:rPr>
        <w:t>427.59</w:t>
      </w:r>
      <w:r>
        <w:rPr>
          <w:rFonts w:hint="eastAsia" w:ascii="仿宋_GB2312" w:hAnsi="仿宋_GB2312" w:eastAsia="仿宋_GB2312"/>
          <w:color w:val="auto"/>
          <w:kern w:val="0"/>
          <w:sz w:val="32"/>
          <w:szCs w:val="24"/>
        </w:rPr>
        <w:t>万元，其中：年末结转和结余</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万元。与2020年度相比，收入支出总计</w:t>
      </w:r>
      <w:r>
        <w:rPr>
          <w:rFonts w:hint="eastAsia" w:ascii="仿宋_GB2312" w:hAnsi="仿宋_GB2312" w:eastAsia="仿宋_GB2312"/>
          <w:color w:val="auto"/>
          <w:kern w:val="0"/>
          <w:sz w:val="32"/>
          <w:szCs w:val="24"/>
        </w:rPr>
        <w:t>增加99.17</w:t>
      </w:r>
      <w:r>
        <w:rPr>
          <w:rFonts w:hint="eastAsia" w:ascii="仿宋_GB2312" w:hAnsi="仿宋_GB2312" w:eastAsia="仿宋_GB2312"/>
          <w:color w:val="auto"/>
          <w:kern w:val="0"/>
          <w:sz w:val="32"/>
          <w:szCs w:val="24"/>
        </w:rPr>
        <w:t>万元，</w:t>
      </w:r>
      <w:r>
        <w:rPr>
          <w:rFonts w:hint="eastAsia" w:ascii="仿宋_GB2312" w:hAnsi="仿宋_GB2312" w:eastAsia="仿宋_GB2312"/>
          <w:color w:val="auto"/>
          <w:kern w:val="0"/>
          <w:sz w:val="32"/>
          <w:szCs w:val="24"/>
        </w:rPr>
        <w:t>增长30.19</w:t>
      </w:r>
      <w:r>
        <w:rPr>
          <w:rFonts w:hint="eastAsia" w:ascii="仿宋_GB2312" w:hAnsi="仿宋_GB2312" w:eastAsia="仿宋_GB2312"/>
          <w:color w:val="auto"/>
          <w:kern w:val="0"/>
          <w:sz w:val="32"/>
          <w:szCs w:val="24"/>
        </w:rPr>
        <w:t>%。主要原因：</w:t>
      </w:r>
      <w:r>
        <w:rPr>
          <w:rFonts w:hint="eastAsia" w:ascii="仿宋_GB2312" w:hAnsi="仿宋_GB2312" w:eastAsia="仿宋_GB2312"/>
          <w:color w:val="auto"/>
          <w:kern w:val="0"/>
          <w:sz w:val="32"/>
          <w:szCs w:val="24"/>
          <w:lang w:val="en-US" w:eastAsia="zh-CN"/>
        </w:rPr>
        <w:t>中介审计服务费较上年度增加</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（五）关于2021年度一般公共预算财政拨款支出决算情况说明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本部门2021年度一般公共预算财政拨款支出合计</w:t>
      </w:r>
      <w:r>
        <w:rPr>
          <w:rFonts w:hint="eastAsia" w:ascii="仿宋_GB2312" w:hAnsi="仿宋_GB2312" w:eastAsia="仿宋_GB2312"/>
          <w:color w:val="auto"/>
          <w:kern w:val="0"/>
          <w:sz w:val="32"/>
          <w:szCs w:val="24"/>
        </w:rPr>
        <w:t>427.59</w:t>
      </w:r>
      <w:r>
        <w:rPr>
          <w:rFonts w:hint="eastAsia" w:ascii="仿宋_GB2312" w:hAnsi="仿宋_GB2312" w:eastAsia="仿宋_GB2312"/>
          <w:color w:val="auto"/>
          <w:kern w:val="0"/>
          <w:sz w:val="32"/>
          <w:szCs w:val="24"/>
        </w:rPr>
        <w:t>万</w:t>
      </w:r>
      <w:r>
        <w:rPr>
          <w:rFonts w:hint="eastAsia" w:ascii="仿宋_GB2312" w:hAnsi="仿宋_GB2312" w:eastAsia="仿宋_GB2312"/>
          <w:color w:val="auto"/>
          <w:kern w:val="0"/>
          <w:sz w:val="32"/>
          <w:szCs w:val="24"/>
        </w:rPr>
        <w:t>元，</w:t>
      </w:r>
      <w:r>
        <w:rPr>
          <w:rFonts w:hint="eastAsia" w:ascii="仿宋_GB2312" w:hAnsi="仿宋_GB2312" w:eastAsia="仿宋_GB2312"/>
          <w:color w:val="auto"/>
          <w:kern w:val="0"/>
          <w:sz w:val="32"/>
          <w:szCs w:val="24"/>
          <w:lang w:val="en-US" w:eastAsia="zh-CN"/>
        </w:rPr>
        <w:t>全部为</w:t>
      </w:r>
      <w:r>
        <w:rPr>
          <w:rFonts w:hint="eastAsia" w:ascii="仿宋_GB2312" w:hAnsi="仿宋_GB2312" w:eastAsia="仿宋_GB2312"/>
          <w:color w:val="auto"/>
          <w:kern w:val="0"/>
          <w:sz w:val="32"/>
          <w:szCs w:val="24"/>
        </w:rPr>
        <w:t>基本支出</w:t>
      </w:r>
      <w:r>
        <w:rPr>
          <w:rFonts w:hint="eastAsia" w:ascii="仿宋_GB2312" w:hAnsi="仿宋_GB2312" w:eastAsia="仿宋_GB2312"/>
          <w:color w:val="auto"/>
          <w:kern w:val="0"/>
          <w:sz w:val="32"/>
          <w:szCs w:val="24"/>
        </w:rPr>
        <w:t>427.59</w:t>
      </w:r>
      <w:r>
        <w:rPr>
          <w:rFonts w:hint="eastAsia" w:ascii="仿宋_GB2312" w:hAnsi="仿宋_GB2312" w:eastAsia="仿宋_GB2312"/>
          <w:color w:val="auto"/>
          <w:kern w:val="0"/>
          <w:sz w:val="32"/>
          <w:szCs w:val="24"/>
        </w:rPr>
        <w:t>万元。</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一般公共预算财政拨款支出427.59万元。与年初预算相比，减少-12.62万元，下降-2.87,变动原因：</w:t>
      </w:r>
      <w:r>
        <w:rPr>
          <w:rFonts w:hint="eastAsia" w:ascii="仿宋_GB2312" w:hAnsi="仿宋_GB2312" w:eastAsia="仿宋_GB2312"/>
          <w:color w:val="auto"/>
          <w:kern w:val="0"/>
          <w:sz w:val="32"/>
          <w:szCs w:val="24"/>
          <w:lang w:val="en-US" w:eastAsia="zh-CN"/>
        </w:rPr>
        <w:t>一是</w:t>
      </w:r>
      <w:r>
        <w:rPr>
          <w:rFonts w:hint="eastAsia" w:ascii="仿宋_GB2312" w:hAnsi="仿宋_GB2312" w:eastAsia="仿宋_GB2312"/>
          <w:color w:val="auto"/>
          <w:kern w:val="0"/>
          <w:sz w:val="32"/>
          <w:szCs w:val="24"/>
        </w:rPr>
        <w:t>政府提倡“过紧日 子”，进一步压缩公用经费</w:t>
      </w: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二是由于</w:t>
      </w:r>
      <w:r>
        <w:rPr>
          <w:rFonts w:hint="eastAsia" w:ascii="仿宋_GB2312" w:hAnsi="仿宋_GB2312" w:eastAsia="仿宋_GB2312"/>
          <w:color w:val="auto"/>
          <w:kern w:val="0"/>
          <w:sz w:val="32"/>
          <w:szCs w:val="24"/>
        </w:rPr>
        <w:t>受疫情影响，</w:t>
      </w:r>
      <w:r>
        <w:rPr>
          <w:rFonts w:hint="eastAsia" w:ascii="仿宋_GB2312" w:hAnsi="仿宋_GB2312" w:eastAsia="仿宋_GB2312"/>
          <w:color w:val="auto"/>
          <w:kern w:val="0"/>
          <w:sz w:val="32"/>
          <w:szCs w:val="24"/>
          <w:lang w:val="en-US" w:eastAsia="zh-CN"/>
        </w:rPr>
        <w:t>差旅费、办公费等支出</w:t>
      </w:r>
      <w:r>
        <w:rPr>
          <w:rFonts w:hint="eastAsia" w:ascii="仿宋_GB2312" w:hAnsi="仿宋_GB2312" w:eastAsia="仿宋_GB2312"/>
          <w:color w:val="auto"/>
          <w:kern w:val="0"/>
          <w:sz w:val="32"/>
          <w:szCs w:val="24"/>
        </w:rPr>
        <w:t>减少</w:t>
      </w: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rPr>
        <w:t>其中：</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1、</w:t>
      </w:r>
      <w:r>
        <w:rPr>
          <w:rFonts w:hint="eastAsia" w:ascii="仿宋_GB2312" w:hAnsi="仿宋_GB2312" w:eastAsia="仿宋_GB2312"/>
          <w:color w:val="auto"/>
          <w:kern w:val="0"/>
          <w:sz w:val="32"/>
          <w:szCs w:val="24"/>
        </w:rPr>
        <w:t>一般公共服务（类）</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（1）</w:t>
      </w:r>
      <w:r>
        <w:rPr>
          <w:rFonts w:hint="eastAsia" w:ascii="仿宋_GB2312" w:hAnsi="仿宋_GB2312" w:eastAsia="仿宋_GB2312"/>
          <w:color w:val="auto"/>
          <w:kern w:val="0"/>
          <w:sz w:val="32"/>
          <w:szCs w:val="24"/>
        </w:rPr>
        <w:t>审计事务（款）行政运行（项）。年初预算</w:t>
      </w:r>
      <w:r>
        <w:rPr>
          <w:rFonts w:hint="eastAsia" w:ascii="仿宋_GB2312" w:hAnsi="仿宋_GB2312" w:eastAsia="仿宋_GB2312"/>
          <w:color w:val="auto"/>
          <w:kern w:val="0"/>
          <w:sz w:val="32"/>
          <w:szCs w:val="24"/>
          <w:lang w:val="en-US" w:eastAsia="zh-CN"/>
        </w:rPr>
        <w:t>91.52</w:t>
      </w:r>
      <w:r>
        <w:rPr>
          <w:rFonts w:hint="eastAsia" w:ascii="仿宋_GB2312" w:hAnsi="仿宋_GB2312" w:eastAsia="仿宋_GB2312"/>
          <w:color w:val="auto"/>
          <w:kern w:val="0"/>
          <w:sz w:val="32"/>
          <w:szCs w:val="24"/>
        </w:rPr>
        <w:t>万元，决算支出</w:t>
      </w:r>
      <w:r>
        <w:rPr>
          <w:rFonts w:hint="eastAsia" w:ascii="仿宋_GB2312" w:hAnsi="仿宋_GB2312" w:eastAsia="仿宋_GB2312"/>
          <w:color w:val="auto"/>
          <w:kern w:val="0"/>
          <w:sz w:val="32"/>
          <w:szCs w:val="24"/>
          <w:lang w:val="en-US" w:eastAsia="zh-CN"/>
        </w:rPr>
        <w:t>91.52</w:t>
      </w:r>
      <w:r>
        <w:rPr>
          <w:rFonts w:hint="eastAsia" w:ascii="仿宋_GB2312" w:hAnsi="仿宋_GB2312" w:eastAsia="仿宋_GB2312"/>
          <w:color w:val="auto"/>
          <w:kern w:val="0"/>
          <w:sz w:val="32"/>
          <w:szCs w:val="24"/>
        </w:rPr>
        <w:t xml:space="preserve">万元，完成年初预算的 </w:t>
      </w:r>
      <w:r>
        <w:rPr>
          <w:rFonts w:hint="eastAsia" w:ascii="仿宋_GB2312" w:hAnsi="仿宋_GB2312" w:eastAsia="仿宋_GB2312"/>
          <w:color w:val="auto"/>
          <w:kern w:val="0"/>
          <w:sz w:val="32"/>
          <w:szCs w:val="24"/>
          <w:lang w:val="en-US" w:eastAsia="zh-CN"/>
        </w:rPr>
        <w:t>100</w:t>
      </w:r>
      <w:r>
        <w:rPr>
          <w:rFonts w:hint="eastAsia" w:ascii="仿宋_GB2312" w:hAnsi="仿宋_GB2312" w:eastAsia="仿宋_GB2312"/>
          <w:color w:val="auto"/>
          <w:kern w:val="0"/>
          <w:sz w:val="32"/>
          <w:szCs w:val="24"/>
        </w:rPr>
        <w:t>%。决算数与年初预算数</w:t>
      </w:r>
      <w:r>
        <w:rPr>
          <w:rFonts w:hint="eastAsia" w:ascii="仿宋_GB2312" w:hAnsi="仿宋_GB2312" w:eastAsia="仿宋_GB2312"/>
          <w:color w:val="auto"/>
          <w:kern w:val="0"/>
          <w:sz w:val="32"/>
          <w:szCs w:val="24"/>
          <w:lang w:val="en-US" w:eastAsia="zh-CN"/>
        </w:rPr>
        <w:t>无</w:t>
      </w:r>
      <w:r>
        <w:rPr>
          <w:rFonts w:hint="eastAsia" w:ascii="仿宋_GB2312" w:hAnsi="仿宋_GB2312" w:eastAsia="仿宋_GB2312"/>
          <w:color w:val="auto"/>
          <w:kern w:val="0"/>
          <w:sz w:val="32"/>
          <w:szCs w:val="24"/>
        </w:rPr>
        <w:t>差异。</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（2）</w:t>
      </w:r>
      <w:r>
        <w:rPr>
          <w:rFonts w:hint="eastAsia" w:ascii="仿宋_GB2312" w:hAnsi="仿宋_GB2312" w:eastAsia="仿宋_GB2312"/>
          <w:color w:val="auto"/>
          <w:kern w:val="0"/>
          <w:sz w:val="32"/>
          <w:szCs w:val="24"/>
        </w:rPr>
        <w:t>审计事务（款）</w:t>
      </w:r>
      <w:r>
        <w:rPr>
          <w:rFonts w:hint="eastAsia" w:ascii="仿宋_GB2312" w:hAnsi="仿宋_GB2312" w:eastAsia="仿宋_GB2312"/>
          <w:color w:val="auto"/>
          <w:kern w:val="0"/>
          <w:sz w:val="32"/>
          <w:szCs w:val="24"/>
          <w:lang w:val="en-US" w:eastAsia="zh-CN"/>
        </w:rPr>
        <w:t>审计业务</w:t>
      </w:r>
      <w:r>
        <w:rPr>
          <w:rFonts w:hint="eastAsia" w:ascii="仿宋_GB2312" w:hAnsi="仿宋_GB2312" w:eastAsia="仿宋_GB2312"/>
          <w:color w:val="auto"/>
          <w:kern w:val="0"/>
          <w:sz w:val="32"/>
          <w:szCs w:val="24"/>
        </w:rPr>
        <w:t>（项）。年初预算</w:t>
      </w:r>
      <w:r>
        <w:rPr>
          <w:rFonts w:hint="eastAsia" w:ascii="仿宋_GB2312" w:hAnsi="仿宋_GB2312" w:eastAsia="仿宋_GB2312"/>
          <w:color w:val="auto"/>
          <w:kern w:val="0"/>
          <w:sz w:val="32"/>
          <w:szCs w:val="24"/>
          <w:lang w:val="en-US" w:eastAsia="zh-CN"/>
        </w:rPr>
        <w:t>197.01</w:t>
      </w:r>
      <w:r>
        <w:rPr>
          <w:rFonts w:hint="eastAsia" w:ascii="仿宋_GB2312" w:hAnsi="仿宋_GB2312" w:eastAsia="仿宋_GB2312"/>
          <w:color w:val="auto"/>
          <w:kern w:val="0"/>
          <w:sz w:val="32"/>
          <w:szCs w:val="24"/>
        </w:rPr>
        <w:t>万元，决算支出</w:t>
      </w:r>
      <w:r>
        <w:rPr>
          <w:rFonts w:hint="eastAsia" w:ascii="仿宋_GB2312" w:hAnsi="仿宋_GB2312" w:eastAsia="仿宋_GB2312"/>
          <w:color w:val="auto"/>
          <w:kern w:val="0"/>
          <w:sz w:val="32"/>
          <w:szCs w:val="24"/>
          <w:lang w:val="en-US" w:eastAsia="zh-CN"/>
        </w:rPr>
        <w:t>197.01</w:t>
      </w:r>
      <w:r>
        <w:rPr>
          <w:rFonts w:hint="eastAsia" w:ascii="仿宋_GB2312" w:hAnsi="仿宋_GB2312" w:eastAsia="仿宋_GB2312"/>
          <w:color w:val="auto"/>
          <w:kern w:val="0"/>
          <w:sz w:val="32"/>
          <w:szCs w:val="24"/>
        </w:rPr>
        <w:t xml:space="preserve">万元，完成年初预算的 </w:t>
      </w:r>
      <w:r>
        <w:rPr>
          <w:rFonts w:hint="eastAsia" w:ascii="仿宋_GB2312" w:hAnsi="仿宋_GB2312" w:eastAsia="仿宋_GB2312"/>
          <w:color w:val="auto"/>
          <w:kern w:val="0"/>
          <w:sz w:val="32"/>
          <w:szCs w:val="24"/>
          <w:lang w:val="en-US" w:eastAsia="zh-CN"/>
        </w:rPr>
        <w:t>100</w:t>
      </w:r>
      <w:r>
        <w:rPr>
          <w:rFonts w:hint="eastAsia" w:ascii="仿宋_GB2312" w:hAnsi="仿宋_GB2312" w:eastAsia="仿宋_GB2312"/>
          <w:color w:val="auto"/>
          <w:kern w:val="0"/>
          <w:sz w:val="32"/>
          <w:szCs w:val="24"/>
        </w:rPr>
        <w:t>%。决算数与年初预算数</w:t>
      </w:r>
      <w:r>
        <w:rPr>
          <w:rFonts w:hint="eastAsia" w:ascii="仿宋_GB2312" w:hAnsi="仿宋_GB2312" w:eastAsia="仿宋_GB2312"/>
          <w:color w:val="auto"/>
          <w:kern w:val="0"/>
          <w:sz w:val="32"/>
          <w:szCs w:val="24"/>
          <w:lang w:val="en-US" w:eastAsia="zh-CN"/>
        </w:rPr>
        <w:t>无</w:t>
      </w:r>
      <w:r>
        <w:rPr>
          <w:rFonts w:hint="eastAsia" w:ascii="仿宋_GB2312" w:hAnsi="仿宋_GB2312" w:eastAsia="仿宋_GB2312"/>
          <w:color w:val="auto"/>
          <w:kern w:val="0"/>
          <w:sz w:val="32"/>
          <w:szCs w:val="24"/>
        </w:rPr>
        <w:t>差异。</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（3）</w:t>
      </w:r>
      <w:r>
        <w:rPr>
          <w:rFonts w:hint="eastAsia" w:ascii="仿宋_GB2312" w:hAnsi="仿宋_GB2312" w:eastAsia="仿宋_GB2312"/>
          <w:color w:val="auto"/>
          <w:kern w:val="0"/>
          <w:sz w:val="32"/>
          <w:szCs w:val="24"/>
        </w:rPr>
        <w:t>审计事务（款）</w:t>
      </w:r>
      <w:r>
        <w:rPr>
          <w:rFonts w:hint="eastAsia" w:ascii="仿宋_GB2312" w:hAnsi="仿宋_GB2312" w:eastAsia="仿宋_GB2312"/>
          <w:color w:val="auto"/>
          <w:kern w:val="0"/>
          <w:sz w:val="32"/>
          <w:szCs w:val="24"/>
          <w:lang w:val="en-US" w:eastAsia="zh-CN"/>
        </w:rPr>
        <w:t>事业运行</w:t>
      </w:r>
      <w:r>
        <w:rPr>
          <w:rFonts w:hint="eastAsia" w:ascii="仿宋_GB2312" w:hAnsi="仿宋_GB2312" w:eastAsia="仿宋_GB2312"/>
          <w:color w:val="auto"/>
          <w:kern w:val="0"/>
          <w:sz w:val="32"/>
          <w:szCs w:val="24"/>
        </w:rPr>
        <w:t>（项）。年初预算</w:t>
      </w:r>
      <w:r>
        <w:rPr>
          <w:rFonts w:hint="eastAsia" w:ascii="仿宋_GB2312" w:hAnsi="仿宋_GB2312" w:eastAsia="仿宋_GB2312"/>
          <w:color w:val="auto"/>
          <w:kern w:val="0"/>
          <w:sz w:val="32"/>
          <w:szCs w:val="24"/>
          <w:lang w:val="en-US" w:eastAsia="zh-CN"/>
        </w:rPr>
        <w:t>84.85</w:t>
      </w:r>
      <w:r>
        <w:rPr>
          <w:rFonts w:hint="eastAsia" w:ascii="仿宋_GB2312" w:hAnsi="仿宋_GB2312" w:eastAsia="仿宋_GB2312"/>
          <w:color w:val="auto"/>
          <w:kern w:val="0"/>
          <w:sz w:val="32"/>
          <w:szCs w:val="24"/>
        </w:rPr>
        <w:t>万元，决算支出</w:t>
      </w:r>
      <w:r>
        <w:rPr>
          <w:rFonts w:hint="eastAsia" w:ascii="仿宋_GB2312" w:hAnsi="仿宋_GB2312" w:eastAsia="仿宋_GB2312"/>
          <w:color w:val="auto"/>
          <w:kern w:val="0"/>
          <w:sz w:val="32"/>
          <w:szCs w:val="24"/>
          <w:lang w:val="en-US" w:eastAsia="zh-CN"/>
        </w:rPr>
        <w:t>84.85</w:t>
      </w:r>
      <w:r>
        <w:rPr>
          <w:rFonts w:hint="eastAsia" w:ascii="仿宋_GB2312" w:hAnsi="仿宋_GB2312" w:eastAsia="仿宋_GB2312"/>
          <w:color w:val="auto"/>
          <w:kern w:val="0"/>
          <w:sz w:val="32"/>
          <w:szCs w:val="24"/>
        </w:rPr>
        <w:t xml:space="preserve">万元，完成年初预算的 </w:t>
      </w:r>
      <w:r>
        <w:rPr>
          <w:rFonts w:hint="eastAsia" w:ascii="仿宋_GB2312" w:hAnsi="仿宋_GB2312" w:eastAsia="仿宋_GB2312"/>
          <w:color w:val="auto"/>
          <w:kern w:val="0"/>
          <w:sz w:val="32"/>
          <w:szCs w:val="24"/>
          <w:lang w:val="en-US" w:eastAsia="zh-CN"/>
        </w:rPr>
        <w:t>100</w:t>
      </w:r>
      <w:r>
        <w:rPr>
          <w:rFonts w:hint="eastAsia" w:ascii="仿宋_GB2312" w:hAnsi="仿宋_GB2312" w:eastAsia="仿宋_GB2312"/>
          <w:color w:val="auto"/>
          <w:kern w:val="0"/>
          <w:sz w:val="32"/>
          <w:szCs w:val="24"/>
        </w:rPr>
        <w:t>%。决算数与年初预算数</w:t>
      </w:r>
      <w:r>
        <w:rPr>
          <w:rFonts w:hint="eastAsia" w:ascii="仿宋_GB2312" w:hAnsi="仿宋_GB2312" w:eastAsia="仿宋_GB2312"/>
          <w:color w:val="auto"/>
          <w:kern w:val="0"/>
          <w:sz w:val="32"/>
          <w:szCs w:val="24"/>
          <w:lang w:val="en-US" w:eastAsia="zh-CN"/>
        </w:rPr>
        <w:t>无</w:t>
      </w:r>
      <w:r>
        <w:rPr>
          <w:rFonts w:hint="eastAsia" w:ascii="仿宋_GB2312" w:hAnsi="仿宋_GB2312" w:eastAsia="仿宋_GB2312"/>
          <w:color w:val="auto"/>
          <w:kern w:val="0"/>
          <w:sz w:val="32"/>
          <w:szCs w:val="24"/>
        </w:rPr>
        <w:t>差异。</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2、</w:t>
      </w:r>
      <w:r>
        <w:rPr>
          <w:rFonts w:hint="eastAsia" w:ascii="仿宋_GB2312" w:hAnsi="仿宋_GB2312" w:eastAsia="仿宋_GB2312"/>
          <w:color w:val="auto"/>
          <w:kern w:val="0"/>
          <w:sz w:val="32"/>
          <w:szCs w:val="24"/>
        </w:rPr>
        <w:t>社会保障和就业（类）</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1）</w:t>
      </w:r>
      <w:r>
        <w:rPr>
          <w:rFonts w:hint="eastAsia" w:ascii="仿宋_GB2312" w:hAnsi="仿宋_GB2312" w:eastAsia="仿宋_GB2312"/>
          <w:color w:val="auto"/>
          <w:kern w:val="0"/>
          <w:sz w:val="32"/>
          <w:szCs w:val="24"/>
        </w:rPr>
        <w:t>行政事业单位养老支出（款）行政单位离退休 （项）。年初预算</w:t>
      </w:r>
      <w:r>
        <w:rPr>
          <w:rFonts w:hint="eastAsia" w:ascii="仿宋_GB2312" w:hAnsi="仿宋_GB2312" w:eastAsia="仿宋_GB2312"/>
          <w:color w:val="auto"/>
          <w:kern w:val="0"/>
          <w:sz w:val="32"/>
          <w:szCs w:val="24"/>
          <w:lang w:val="en-US" w:eastAsia="zh-CN"/>
        </w:rPr>
        <w:t>6.87</w:t>
      </w:r>
      <w:r>
        <w:rPr>
          <w:rFonts w:hint="eastAsia" w:ascii="仿宋_GB2312" w:hAnsi="仿宋_GB2312" w:eastAsia="仿宋_GB2312"/>
          <w:color w:val="auto"/>
          <w:kern w:val="0"/>
          <w:sz w:val="32"/>
          <w:szCs w:val="24"/>
        </w:rPr>
        <w:t>万元，决算支出</w:t>
      </w:r>
      <w:r>
        <w:rPr>
          <w:rFonts w:hint="eastAsia" w:ascii="仿宋_GB2312" w:hAnsi="仿宋_GB2312" w:eastAsia="仿宋_GB2312"/>
          <w:color w:val="auto"/>
          <w:kern w:val="0"/>
          <w:sz w:val="32"/>
          <w:szCs w:val="24"/>
          <w:lang w:val="en-US" w:eastAsia="zh-CN"/>
        </w:rPr>
        <w:t>6.87</w:t>
      </w:r>
      <w:r>
        <w:rPr>
          <w:rFonts w:hint="eastAsia" w:ascii="仿宋_GB2312" w:hAnsi="仿宋_GB2312" w:eastAsia="仿宋_GB2312"/>
          <w:color w:val="auto"/>
          <w:kern w:val="0"/>
          <w:sz w:val="32"/>
          <w:szCs w:val="24"/>
        </w:rPr>
        <w:t>万元，完成年初预算的10</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2）</w:t>
      </w:r>
      <w:r>
        <w:rPr>
          <w:rFonts w:hint="eastAsia" w:ascii="仿宋_GB2312" w:hAnsi="仿宋_GB2312" w:eastAsia="仿宋_GB2312"/>
          <w:color w:val="auto"/>
          <w:kern w:val="0"/>
          <w:sz w:val="32"/>
          <w:szCs w:val="24"/>
        </w:rPr>
        <w:t>行政事业单位养老支出（款）</w:t>
      </w:r>
      <w:r>
        <w:rPr>
          <w:rFonts w:hint="eastAsia" w:ascii="仿宋_GB2312" w:hAnsi="仿宋_GB2312" w:eastAsia="仿宋_GB2312"/>
          <w:color w:val="auto"/>
          <w:kern w:val="0"/>
          <w:sz w:val="32"/>
          <w:szCs w:val="24"/>
          <w:lang w:val="en-US" w:eastAsia="zh-CN"/>
        </w:rPr>
        <w:t>机关事业单位基本养老保险缴费支出</w:t>
      </w:r>
      <w:r>
        <w:rPr>
          <w:rFonts w:hint="eastAsia" w:ascii="仿宋_GB2312" w:hAnsi="仿宋_GB2312" w:eastAsia="仿宋_GB2312"/>
          <w:color w:val="auto"/>
          <w:kern w:val="0"/>
          <w:sz w:val="32"/>
          <w:szCs w:val="24"/>
        </w:rPr>
        <w:t>（项）。年初预算</w:t>
      </w:r>
      <w:r>
        <w:rPr>
          <w:rFonts w:hint="eastAsia" w:ascii="仿宋_GB2312" w:hAnsi="仿宋_GB2312" w:eastAsia="仿宋_GB2312"/>
          <w:color w:val="auto"/>
          <w:kern w:val="0"/>
          <w:sz w:val="32"/>
          <w:szCs w:val="24"/>
          <w:lang w:val="en-US" w:eastAsia="zh-CN"/>
        </w:rPr>
        <w:t>19.31</w:t>
      </w:r>
      <w:r>
        <w:rPr>
          <w:rFonts w:hint="eastAsia" w:ascii="仿宋_GB2312" w:hAnsi="仿宋_GB2312" w:eastAsia="仿宋_GB2312"/>
          <w:color w:val="auto"/>
          <w:kern w:val="0"/>
          <w:sz w:val="32"/>
          <w:szCs w:val="24"/>
        </w:rPr>
        <w:t>万元，决算支出</w:t>
      </w:r>
      <w:r>
        <w:rPr>
          <w:rFonts w:hint="eastAsia" w:ascii="仿宋_GB2312" w:hAnsi="仿宋_GB2312" w:eastAsia="仿宋_GB2312"/>
          <w:color w:val="auto"/>
          <w:kern w:val="0"/>
          <w:sz w:val="32"/>
          <w:szCs w:val="24"/>
          <w:lang w:val="en-US" w:eastAsia="zh-CN"/>
        </w:rPr>
        <w:t>19.31</w:t>
      </w:r>
      <w:r>
        <w:rPr>
          <w:rFonts w:hint="eastAsia" w:ascii="仿宋_GB2312" w:hAnsi="仿宋_GB2312" w:eastAsia="仿宋_GB2312"/>
          <w:color w:val="auto"/>
          <w:kern w:val="0"/>
          <w:sz w:val="32"/>
          <w:szCs w:val="24"/>
        </w:rPr>
        <w:t>万元，完成年初预算的10</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2）</w:t>
      </w:r>
      <w:r>
        <w:rPr>
          <w:rFonts w:hint="eastAsia" w:ascii="仿宋_GB2312" w:hAnsi="仿宋_GB2312" w:eastAsia="仿宋_GB2312"/>
          <w:color w:val="auto"/>
          <w:kern w:val="0"/>
          <w:sz w:val="32"/>
          <w:szCs w:val="24"/>
        </w:rPr>
        <w:t>行政事业单位养老支出（款）</w:t>
      </w:r>
      <w:r>
        <w:rPr>
          <w:rFonts w:hint="eastAsia" w:ascii="仿宋_GB2312" w:hAnsi="仿宋_GB2312" w:eastAsia="仿宋_GB2312"/>
          <w:color w:val="auto"/>
          <w:kern w:val="0"/>
          <w:sz w:val="32"/>
          <w:szCs w:val="24"/>
          <w:lang w:val="en-US" w:eastAsia="zh-CN"/>
        </w:rPr>
        <w:t>机关事业单位职业年金缴费支出</w:t>
      </w:r>
      <w:r>
        <w:rPr>
          <w:rFonts w:hint="eastAsia" w:ascii="仿宋_GB2312" w:hAnsi="仿宋_GB2312" w:eastAsia="仿宋_GB2312"/>
          <w:color w:val="auto"/>
          <w:kern w:val="0"/>
          <w:sz w:val="32"/>
          <w:szCs w:val="24"/>
        </w:rPr>
        <w:t>（项）。年初预算</w:t>
      </w:r>
      <w:r>
        <w:rPr>
          <w:rFonts w:hint="eastAsia" w:ascii="仿宋_GB2312" w:hAnsi="仿宋_GB2312" w:eastAsia="仿宋_GB2312"/>
          <w:color w:val="auto"/>
          <w:kern w:val="0"/>
          <w:sz w:val="32"/>
          <w:szCs w:val="24"/>
          <w:lang w:val="en-US" w:eastAsia="zh-CN"/>
        </w:rPr>
        <w:t>4.44</w:t>
      </w:r>
      <w:r>
        <w:rPr>
          <w:rFonts w:hint="eastAsia" w:ascii="仿宋_GB2312" w:hAnsi="仿宋_GB2312" w:eastAsia="仿宋_GB2312"/>
          <w:color w:val="auto"/>
          <w:kern w:val="0"/>
          <w:sz w:val="32"/>
          <w:szCs w:val="24"/>
        </w:rPr>
        <w:t>万元，决算支出</w:t>
      </w:r>
      <w:r>
        <w:rPr>
          <w:rFonts w:hint="eastAsia" w:ascii="仿宋_GB2312" w:hAnsi="仿宋_GB2312" w:eastAsia="仿宋_GB2312"/>
          <w:color w:val="auto"/>
          <w:kern w:val="0"/>
          <w:sz w:val="32"/>
          <w:szCs w:val="24"/>
          <w:lang w:val="en-US" w:eastAsia="zh-CN"/>
        </w:rPr>
        <w:t>4.44</w:t>
      </w:r>
      <w:r>
        <w:rPr>
          <w:rFonts w:hint="eastAsia" w:ascii="仿宋_GB2312" w:hAnsi="仿宋_GB2312" w:eastAsia="仿宋_GB2312"/>
          <w:color w:val="auto"/>
          <w:kern w:val="0"/>
          <w:sz w:val="32"/>
          <w:szCs w:val="24"/>
        </w:rPr>
        <w:t>万元，完成年初预算的10</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（六）关于2021年度一般公共预算财政拨款基本支出决算情况说明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本部门2021年度一般公共预算财政拨款基本支出</w:t>
      </w:r>
      <w:r>
        <w:rPr>
          <w:rFonts w:hint="eastAsia" w:ascii="仿宋_GB2312" w:hAnsi="仿宋_GB2312" w:eastAsia="仿宋_GB2312"/>
          <w:color w:val="auto"/>
          <w:kern w:val="0"/>
          <w:sz w:val="32"/>
          <w:szCs w:val="24"/>
        </w:rPr>
        <w:t>427.59</w:t>
      </w:r>
      <w:r>
        <w:rPr>
          <w:rFonts w:hint="eastAsia" w:ascii="仿宋_GB2312" w:hAnsi="仿宋_GB2312" w:eastAsia="仿宋_GB2312"/>
          <w:color w:val="auto"/>
          <w:kern w:val="0"/>
          <w:sz w:val="32"/>
          <w:szCs w:val="24"/>
        </w:rPr>
        <w:t>万元，其中：人员经费</w:t>
      </w:r>
      <w:r>
        <w:rPr>
          <w:rFonts w:hint="eastAsia" w:ascii="仿宋_GB2312" w:hAnsi="仿宋_GB2312" w:eastAsia="仿宋_GB2312"/>
          <w:color w:val="auto"/>
          <w:kern w:val="0"/>
          <w:sz w:val="32"/>
          <w:szCs w:val="24"/>
        </w:rPr>
        <w:t>215.45</w:t>
      </w:r>
      <w:r>
        <w:rPr>
          <w:rFonts w:hint="eastAsia" w:ascii="仿宋_GB2312" w:hAnsi="仿宋_GB2312" w:eastAsia="仿宋_GB2312"/>
          <w:color w:val="auto"/>
          <w:kern w:val="0"/>
          <w:sz w:val="32"/>
          <w:szCs w:val="24"/>
        </w:rPr>
        <w:t>万元，主要包括：</w:t>
      </w:r>
      <w:r>
        <w:rPr>
          <w:rFonts w:hint="eastAsia" w:ascii="仿宋_GB2312" w:hAnsi="仿宋_GB2312" w:eastAsia="仿宋_GB2312"/>
          <w:color w:val="auto"/>
          <w:kern w:val="0"/>
          <w:sz w:val="32"/>
          <w:szCs w:val="24"/>
        </w:rPr>
        <w:t>基本工资、津贴补贴、社会保障缴费</w:t>
      </w:r>
      <w:r>
        <w:rPr>
          <w:rFonts w:hint="eastAsia" w:ascii="仿宋_GB2312" w:hAnsi="仿宋_GB2312" w:eastAsia="仿宋_GB2312"/>
          <w:color w:val="auto"/>
          <w:kern w:val="0"/>
          <w:sz w:val="32"/>
          <w:szCs w:val="24"/>
        </w:rPr>
        <w:t>，较上年</w:t>
      </w:r>
      <w:r>
        <w:rPr>
          <w:rFonts w:hint="eastAsia" w:ascii="仿宋_GB2312" w:hAnsi="仿宋_GB2312" w:eastAsia="仿宋_GB2312"/>
          <w:color w:val="auto"/>
          <w:kern w:val="0"/>
          <w:sz w:val="32"/>
          <w:szCs w:val="24"/>
        </w:rPr>
        <w:t>减少-7.05</w:t>
      </w:r>
      <w:r>
        <w:rPr>
          <w:rFonts w:hint="eastAsia" w:ascii="仿宋_GB2312" w:hAnsi="仿宋_GB2312" w:eastAsia="仿宋_GB2312"/>
          <w:color w:val="auto"/>
          <w:kern w:val="0"/>
          <w:sz w:val="32"/>
          <w:szCs w:val="24"/>
        </w:rPr>
        <w:t>万元，主要原因是：</w:t>
      </w:r>
      <w:r>
        <w:rPr>
          <w:rFonts w:hint="eastAsia" w:ascii="仿宋_GB2312" w:hAnsi="仿宋_GB2312" w:eastAsia="仿宋_GB2312"/>
          <w:color w:val="auto"/>
          <w:kern w:val="0"/>
          <w:sz w:val="32"/>
          <w:szCs w:val="24"/>
          <w:lang w:val="en-US" w:eastAsia="zh-CN"/>
        </w:rPr>
        <w:t>本年度人员退休、调转转出人员减少导致人员经费减少</w:t>
      </w:r>
      <w:r>
        <w:rPr>
          <w:rFonts w:hint="eastAsia" w:ascii="仿宋_GB2312" w:hAnsi="仿宋_GB2312" w:eastAsia="仿宋_GB2312"/>
          <w:color w:val="auto"/>
          <w:kern w:val="0"/>
          <w:sz w:val="32"/>
          <w:szCs w:val="24"/>
        </w:rPr>
        <w:t>；公用经费</w:t>
      </w:r>
      <w:r>
        <w:rPr>
          <w:rFonts w:hint="eastAsia" w:ascii="仿宋_GB2312" w:hAnsi="仿宋_GB2312" w:eastAsia="仿宋_GB2312"/>
          <w:color w:val="auto"/>
          <w:kern w:val="0"/>
          <w:sz w:val="32"/>
          <w:szCs w:val="24"/>
        </w:rPr>
        <w:t>212.14</w:t>
      </w:r>
      <w:r>
        <w:rPr>
          <w:rFonts w:hint="eastAsia" w:ascii="仿宋_GB2312" w:hAnsi="仿宋_GB2312" w:eastAsia="仿宋_GB2312"/>
          <w:color w:val="auto"/>
          <w:kern w:val="0"/>
          <w:sz w:val="32"/>
          <w:szCs w:val="24"/>
        </w:rPr>
        <w:t>万元，主要包括：</w:t>
      </w:r>
      <w:r>
        <w:rPr>
          <w:rFonts w:hint="eastAsia" w:ascii="仿宋_GB2312" w:hAnsi="仿宋_GB2312" w:eastAsia="仿宋_GB2312"/>
          <w:color w:val="auto"/>
          <w:kern w:val="0"/>
          <w:sz w:val="32"/>
          <w:szCs w:val="24"/>
        </w:rPr>
        <w:t>办公费、</w:t>
      </w:r>
      <w:r>
        <w:rPr>
          <w:rFonts w:hint="eastAsia" w:ascii="仿宋_GB2312" w:hAnsi="仿宋_GB2312" w:eastAsia="仿宋_GB2312"/>
          <w:color w:val="auto"/>
          <w:kern w:val="0"/>
          <w:sz w:val="32"/>
          <w:szCs w:val="24"/>
          <w:lang w:val="en-US" w:eastAsia="zh-CN"/>
        </w:rPr>
        <w:t>邮电费</w:t>
      </w:r>
      <w:r>
        <w:rPr>
          <w:rFonts w:hint="eastAsia" w:ascii="仿宋_GB2312" w:hAnsi="仿宋_GB2312" w:eastAsia="仿宋_GB2312"/>
          <w:color w:val="auto"/>
          <w:kern w:val="0"/>
          <w:sz w:val="32"/>
          <w:szCs w:val="24"/>
        </w:rPr>
        <w:t>、</w:t>
      </w:r>
      <w:r>
        <w:rPr>
          <w:rFonts w:hint="eastAsia" w:ascii="仿宋_GB2312" w:hAnsi="仿宋_GB2312" w:eastAsia="仿宋_GB2312"/>
          <w:color w:val="auto"/>
          <w:kern w:val="0"/>
          <w:sz w:val="32"/>
          <w:szCs w:val="24"/>
          <w:lang w:val="en-US" w:eastAsia="zh-CN"/>
        </w:rPr>
        <w:t>服务费</w:t>
      </w:r>
      <w:r>
        <w:rPr>
          <w:rFonts w:hint="eastAsia" w:ascii="仿宋_GB2312" w:hAnsi="仿宋_GB2312" w:eastAsia="仿宋_GB2312"/>
          <w:color w:val="auto"/>
          <w:kern w:val="0"/>
          <w:sz w:val="32"/>
          <w:szCs w:val="24"/>
        </w:rPr>
        <w:t>、手续费</w:t>
      </w:r>
      <w:r>
        <w:rPr>
          <w:rFonts w:hint="eastAsia" w:ascii="仿宋_GB2312" w:hAnsi="仿宋_GB2312" w:eastAsia="仿宋_GB2312"/>
          <w:color w:val="auto"/>
          <w:kern w:val="0"/>
          <w:sz w:val="32"/>
          <w:szCs w:val="24"/>
          <w:lang w:val="en-US" w:eastAsia="zh-CN"/>
        </w:rPr>
        <w:t>等</w:t>
      </w:r>
      <w:r>
        <w:rPr>
          <w:rFonts w:hint="eastAsia" w:ascii="仿宋_GB2312" w:hAnsi="仿宋_GB2312" w:eastAsia="仿宋_GB2312"/>
          <w:color w:val="auto"/>
          <w:kern w:val="0"/>
          <w:sz w:val="32"/>
          <w:szCs w:val="24"/>
        </w:rPr>
        <w:t>，较上年</w:t>
      </w:r>
      <w:r>
        <w:rPr>
          <w:rFonts w:hint="eastAsia" w:ascii="仿宋_GB2312" w:hAnsi="仿宋_GB2312" w:eastAsia="仿宋_GB2312"/>
          <w:color w:val="auto"/>
          <w:kern w:val="0"/>
          <w:sz w:val="32"/>
          <w:szCs w:val="24"/>
        </w:rPr>
        <w:t>增加106.21</w:t>
      </w:r>
      <w:r>
        <w:rPr>
          <w:rFonts w:hint="eastAsia" w:ascii="仿宋_GB2312" w:hAnsi="仿宋_GB2312" w:eastAsia="仿宋_GB2312"/>
          <w:color w:val="auto"/>
          <w:kern w:val="0"/>
          <w:sz w:val="32"/>
          <w:szCs w:val="24"/>
        </w:rPr>
        <w:t>万元，主要原因：</w:t>
      </w:r>
      <w:r>
        <w:rPr>
          <w:rFonts w:hint="eastAsia" w:ascii="仿宋_GB2312" w:hAnsi="仿宋_GB2312" w:eastAsia="仿宋_GB2312"/>
          <w:color w:val="auto"/>
          <w:kern w:val="0"/>
          <w:sz w:val="32"/>
          <w:szCs w:val="24"/>
          <w:lang w:val="en-US" w:eastAsia="zh-CN"/>
        </w:rPr>
        <w:t>一是中介审计服务费大幅增加。二是本年度进行档案扫描工作导致办公费增加</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（七）关于2021年度财政拨款</w:t>
      </w:r>
      <w:r>
        <w:rPr>
          <w:rFonts w:hint="default" w:ascii="Times New Roman" w:hAnsi="Times New Roman" w:eastAsia="Times New Roman"/>
          <w:b/>
          <w:color w:val="auto"/>
          <w:kern w:val="0"/>
          <w:sz w:val="32"/>
          <w:szCs w:val="24"/>
        </w:rPr>
        <w:t>“</w:t>
      </w:r>
      <w:r>
        <w:rPr>
          <w:rFonts w:hint="eastAsia" w:ascii="楷体" w:hAnsi="楷体" w:eastAsia="楷体"/>
          <w:b/>
          <w:color w:val="auto"/>
          <w:kern w:val="0"/>
          <w:sz w:val="32"/>
          <w:szCs w:val="24"/>
        </w:rPr>
        <w:t>三公</w:t>
      </w:r>
      <w:r>
        <w:rPr>
          <w:rFonts w:hint="default" w:ascii="Times New Roman" w:hAnsi="Times New Roman" w:eastAsia="Times New Roman"/>
          <w:b/>
          <w:color w:val="auto"/>
          <w:kern w:val="0"/>
          <w:sz w:val="32"/>
          <w:szCs w:val="24"/>
        </w:rPr>
        <w:t>”</w:t>
      </w:r>
      <w:r>
        <w:rPr>
          <w:rFonts w:hint="eastAsia" w:ascii="楷体" w:hAnsi="楷体" w:eastAsia="楷体"/>
          <w:b/>
          <w:color w:val="auto"/>
          <w:kern w:val="0"/>
          <w:sz w:val="32"/>
          <w:szCs w:val="24"/>
        </w:rPr>
        <w:t>经费支出决算情况说明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1、财政拨款</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经费支出决算总体情况说明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本部门2021年度财政拨款</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经费预算为</w:t>
      </w:r>
      <w:r>
        <w:rPr>
          <w:rFonts w:hint="eastAsia" w:ascii="仿宋_GB2312" w:hAnsi="仿宋_GB2312" w:eastAsia="仿宋_GB2312"/>
          <w:color w:val="auto"/>
          <w:kern w:val="0"/>
          <w:sz w:val="32"/>
          <w:szCs w:val="24"/>
        </w:rPr>
        <w:t>2.5</w:t>
      </w:r>
      <w:r>
        <w:rPr>
          <w:rFonts w:hint="eastAsia" w:ascii="仿宋_GB2312" w:hAnsi="仿宋_GB2312" w:eastAsia="仿宋_GB2312"/>
          <w:color w:val="auto"/>
          <w:kern w:val="0"/>
          <w:sz w:val="32"/>
          <w:szCs w:val="24"/>
        </w:rPr>
        <w:t>万元，支出决算为</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rPr>
        <w:t>万元，完成预算的</w:t>
      </w:r>
      <w:r>
        <w:rPr>
          <w:rFonts w:hint="eastAsia" w:ascii="仿宋_GB2312" w:hAnsi="仿宋_GB2312" w:eastAsia="仿宋_GB2312"/>
          <w:color w:val="auto"/>
          <w:kern w:val="0"/>
          <w:sz w:val="32"/>
          <w:szCs w:val="24"/>
        </w:rPr>
        <w:t>15.88</w:t>
      </w:r>
      <w:r>
        <w:rPr>
          <w:rFonts w:hint="eastAsia" w:ascii="仿宋_GB2312" w:hAnsi="仿宋_GB2312" w:eastAsia="仿宋_GB2312"/>
          <w:color w:val="auto"/>
          <w:kern w:val="0"/>
          <w:sz w:val="32"/>
          <w:szCs w:val="24"/>
        </w:rPr>
        <w:t>%，其中：因公出国（境）费预算为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万元，支出决算为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万元，完成预算的</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%；公务用车购置及运行维护费预算为</w:t>
      </w:r>
      <w:r>
        <w:rPr>
          <w:rFonts w:hint="eastAsia" w:ascii="仿宋_GB2312" w:hAnsi="仿宋_GB2312" w:eastAsia="仿宋_GB2312"/>
          <w:color w:val="auto"/>
          <w:kern w:val="0"/>
          <w:sz w:val="32"/>
          <w:szCs w:val="24"/>
        </w:rPr>
        <w:t>2</w:t>
      </w:r>
      <w:r>
        <w:rPr>
          <w:rFonts w:hint="eastAsia" w:ascii="仿宋_GB2312" w:hAnsi="仿宋_GB2312" w:eastAsia="仿宋_GB2312"/>
          <w:color w:val="auto"/>
          <w:kern w:val="0"/>
          <w:sz w:val="32"/>
          <w:szCs w:val="24"/>
        </w:rPr>
        <w:t>万元，支出决算为</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rPr>
        <w:t>万元，完成预算的</w:t>
      </w:r>
      <w:r>
        <w:rPr>
          <w:rFonts w:hint="eastAsia" w:ascii="仿宋_GB2312" w:hAnsi="仿宋_GB2312" w:eastAsia="仿宋_GB2312"/>
          <w:color w:val="auto"/>
          <w:kern w:val="0"/>
          <w:sz w:val="32"/>
          <w:szCs w:val="24"/>
        </w:rPr>
        <w:t>19.85</w:t>
      </w:r>
      <w:r>
        <w:rPr>
          <w:rFonts w:hint="eastAsia" w:ascii="仿宋_GB2312" w:hAnsi="仿宋_GB2312" w:eastAsia="仿宋_GB2312"/>
          <w:color w:val="auto"/>
          <w:kern w:val="0"/>
          <w:sz w:val="32"/>
          <w:szCs w:val="24"/>
        </w:rPr>
        <w:t>%；公务接待费预算为</w:t>
      </w:r>
      <w:r>
        <w:rPr>
          <w:rFonts w:hint="eastAsia" w:ascii="仿宋_GB2312" w:hAnsi="仿宋_GB2312" w:eastAsia="仿宋_GB2312"/>
          <w:color w:val="auto"/>
          <w:kern w:val="0"/>
          <w:sz w:val="32"/>
          <w:szCs w:val="24"/>
        </w:rPr>
        <w:t>0.5</w:t>
      </w:r>
      <w:r>
        <w:rPr>
          <w:rFonts w:hint="eastAsia" w:ascii="仿宋_GB2312" w:hAnsi="仿宋_GB2312" w:eastAsia="仿宋_GB2312"/>
          <w:color w:val="auto"/>
          <w:kern w:val="0"/>
          <w:sz w:val="32"/>
          <w:szCs w:val="24"/>
        </w:rPr>
        <w:t>万元，支出决算</w:t>
      </w:r>
      <w:r>
        <w:rPr>
          <w:rFonts w:hint="eastAsia" w:ascii="仿宋_GB2312" w:hAnsi="仿宋_GB2312" w:eastAsia="仿宋_GB2312"/>
          <w:color w:val="auto"/>
          <w:kern w:val="0"/>
          <w:sz w:val="32"/>
          <w:szCs w:val="24"/>
          <w:lang w:val="en-US" w:eastAsia="zh-CN"/>
        </w:rPr>
        <w:t>不足0.1</w:t>
      </w:r>
      <w:r>
        <w:rPr>
          <w:rFonts w:hint="eastAsia" w:ascii="仿宋_GB2312" w:hAnsi="仿宋_GB2312" w:eastAsia="仿宋_GB2312"/>
          <w:color w:val="auto"/>
          <w:kern w:val="0"/>
          <w:sz w:val="32"/>
          <w:szCs w:val="24"/>
        </w:rPr>
        <w:t>万元，完成预算的</w:t>
      </w:r>
      <w:r>
        <w:rPr>
          <w:rFonts w:hint="eastAsia" w:ascii="仿宋_GB2312" w:hAnsi="仿宋_GB2312" w:eastAsia="仿宋_GB2312"/>
          <w:color w:val="auto"/>
          <w:kern w:val="0"/>
          <w:sz w:val="32"/>
          <w:szCs w:val="24"/>
          <w:lang w:val="en-US" w:eastAsia="zh-CN"/>
        </w:rPr>
        <w:t>15</w:t>
      </w:r>
      <w:r>
        <w:rPr>
          <w:rFonts w:hint="eastAsia" w:ascii="仿宋_GB2312" w:hAnsi="仿宋_GB2312" w:eastAsia="仿宋_GB2312"/>
          <w:color w:val="auto"/>
          <w:kern w:val="0"/>
          <w:sz w:val="32"/>
          <w:szCs w:val="24"/>
        </w:rPr>
        <w:t>%。2021年度财政拨款</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经费支出决算与预算差异情况的原因：</w:t>
      </w:r>
      <w:r>
        <w:rPr>
          <w:rFonts w:hint="eastAsia" w:ascii="仿宋_GB2312" w:hAnsi="仿宋_GB2312" w:eastAsia="仿宋_GB2312"/>
          <w:color w:val="auto"/>
          <w:kern w:val="0"/>
          <w:sz w:val="32"/>
          <w:szCs w:val="24"/>
          <w:lang w:val="en-US" w:eastAsia="zh-CN"/>
        </w:rPr>
        <w:t>受疫情影响公务用车使用较少导致本年度公务用车运行维护费支出较少</w:t>
      </w:r>
      <w:r>
        <w:rPr>
          <w:rFonts w:hint="eastAsia" w:ascii="仿宋_GB2312" w:hAnsi="仿宋_GB2312" w:eastAsia="仿宋_GB2312"/>
          <w:color w:val="auto"/>
          <w:kern w:val="0"/>
          <w:sz w:val="32"/>
          <w:szCs w:val="24"/>
        </w:rPr>
        <w:t>。</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2、财政拨款</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经费支出决算具体情况说明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本部门2021年度财政拨款</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经费支出</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lang w:val="en-US" w:eastAsia="zh-CN"/>
        </w:rPr>
        <w:t>7</w:t>
      </w:r>
      <w:r>
        <w:rPr>
          <w:rFonts w:hint="eastAsia" w:ascii="仿宋_GB2312" w:hAnsi="仿宋_GB2312" w:eastAsia="仿宋_GB2312"/>
          <w:color w:val="auto"/>
          <w:kern w:val="0"/>
          <w:sz w:val="32"/>
          <w:szCs w:val="24"/>
        </w:rPr>
        <w:t>万元，因公出国（境）费支出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万元，占</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经费支出的</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%；公务用车购置及运行维护费支出</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rPr>
        <w:t>万元，占</w:t>
      </w:r>
      <w:r>
        <w:rPr>
          <w:rFonts w:hint="eastAsia" w:ascii="仿宋_GB2312" w:hAnsi="仿宋_GB2312" w:eastAsia="仿宋_GB2312"/>
          <w:color w:val="auto"/>
          <w:kern w:val="0"/>
          <w:sz w:val="32"/>
          <w:szCs w:val="24"/>
          <w:lang w:val="en-US" w:eastAsia="zh-CN"/>
        </w:rPr>
        <w:t>85.11</w:t>
      </w:r>
      <w:r>
        <w:rPr>
          <w:rFonts w:hint="eastAsia" w:ascii="仿宋_GB2312" w:hAnsi="仿宋_GB2312" w:eastAsia="仿宋_GB2312"/>
          <w:color w:val="auto"/>
          <w:kern w:val="0"/>
          <w:sz w:val="32"/>
          <w:szCs w:val="24"/>
        </w:rPr>
        <w:t>%；公务接待费支出</w:t>
      </w:r>
      <w:r>
        <w:rPr>
          <w:rFonts w:hint="eastAsia" w:ascii="仿宋_GB2312" w:hAnsi="仿宋_GB2312" w:eastAsia="仿宋_GB2312"/>
          <w:color w:val="auto"/>
          <w:kern w:val="0"/>
          <w:sz w:val="32"/>
          <w:szCs w:val="24"/>
          <w:lang w:val="en-US" w:eastAsia="zh-CN"/>
        </w:rPr>
        <w:t>0.07</w:t>
      </w:r>
      <w:r>
        <w:rPr>
          <w:rFonts w:hint="eastAsia" w:ascii="仿宋_GB2312" w:hAnsi="仿宋_GB2312" w:eastAsia="仿宋_GB2312"/>
          <w:color w:val="auto"/>
          <w:kern w:val="0"/>
          <w:sz w:val="32"/>
          <w:szCs w:val="24"/>
        </w:rPr>
        <w:t>万元，占</w:t>
      </w:r>
      <w:r>
        <w:rPr>
          <w:rFonts w:hint="eastAsia" w:ascii="仿宋_GB2312" w:hAnsi="仿宋_GB2312" w:eastAsia="仿宋_GB2312"/>
          <w:color w:val="auto"/>
          <w:kern w:val="0"/>
          <w:sz w:val="32"/>
          <w:szCs w:val="24"/>
          <w:lang w:val="en-US" w:eastAsia="zh-CN"/>
        </w:rPr>
        <w:t>14.89</w:t>
      </w:r>
      <w:r>
        <w:rPr>
          <w:rFonts w:hint="eastAsia" w:ascii="仿宋_GB2312" w:hAnsi="仿宋_GB2312" w:eastAsia="仿宋_GB2312"/>
          <w:color w:val="auto"/>
          <w:kern w:val="0"/>
          <w:sz w:val="32"/>
          <w:szCs w:val="24"/>
        </w:rPr>
        <w:t>%。具体情况如下：</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因公出国（境）费支出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公务用车购置及运行维护费支出</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rPr>
        <w:t>万元。其中：公务用车购置支出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万元，公务用车购置支出较上年</w:t>
      </w:r>
      <w:r>
        <w:rPr>
          <w:rFonts w:hint="eastAsia" w:ascii="仿宋_GB2312" w:hAnsi="仿宋_GB2312" w:eastAsia="仿宋_GB2312"/>
          <w:color w:val="auto"/>
          <w:kern w:val="0"/>
          <w:sz w:val="32"/>
          <w:szCs w:val="24"/>
          <w:lang w:val="en-US" w:eastAsia="zh-CN"/>
        </w:rPr>
        <w:t>无变化</w:t>
      </w:r>
      <w:r>
        <w:rPr>
          <w:rFonts w:hint="eastAsia" w:ascii="仿宋_GB2312" w:hAnsi="仿宋_GB2312" w:eastAsia="仿宋_GB2312"/>
          <w:color w:val="auto"/>
          <w:kern w:val="0"/>
          <w:sz w:val="32"/>
          <w:szCs w:val="24"/>
        </w:rPr>
        <w:t>。公务用车运行维护费支出</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rPr>
        <w:t>万元，用于</w:t>
      </w:r>
      <w:r>
        <w:rPr>
          <w:rFonts w:hint="eastAsia" w:ascii="仿宋_GB2312" w:hAnsi="仿宋_GB2312" w:eastAsia="仿宋_GB2312"/>
          <w:color w:val="auto"/>
          <w:kern w:val="0"/>
          <w:sz w:val="32"/>
          <w:szCs w:val="24"/>
          <w:lang w:val="en-US" w:eastAsia="zh-CN"/>
        </w:rPr>
        <w:t>车辆保险、车辆维修</w:t>
      </w:r>
      <w:r>
        <w:rPr>
          <w:rFonts w:hint="eastAsia" w:ascii="仿宋_GB2312" w:hAnsi="仿宋_GB2312" w:eastAsia="仿宋_GB2312"/>
          <w:color w:val="auto"/>
          <w:kern w:val="0"/>
          <w:sz w:val="32"/>
          <w:szCs w:val="24"/>
        </w:rPr>
        <w:t>，车均运维费</w:t>
      </w:r>
      <w:r>
        <w:rPr>
          <w:rFonts w:hint="eastAsia" w:ascii="仿宋_GB2312" w:hAnsi="仿宋_GB2312" w:eastAsia="仿宋_GB2312"/>
          <w:color w:val="auto"/>
          <w:kern w:val="0"/>
          <w:sz w:val="32"/>
          <w:szCs w:val="24"/>
        </w:rPr>
        <w:t>0.4</w:t>
      </w:r>
      <w:r>
        <w:rPr>
          <w:rFonts w:hint="eastAsia" w:ascii="仿宋_GB2312" w:hAnsi="仿宋_GB2312" w:eastAsia="仿宋_GB2312"/>
          <w:color w:val="auto"/>
          <w:kern w:val="0"/>
          <w:sz w:val="32"/>
          <w:szCs w:val="24"/>
        </w:rPr>
        <w:t>万元，公务用车运行维护费支出较上年</w:t>
      </w:r>
      <w:r>
        <w:rPr>
          <w:rFonts w:hint="eastAsia" w:ascii="仿宋_GB2312" w:hAnsi="仿宋_GB2312" w:eastAsia="仿宋_GB2312"/>
          <w:color w:val="auto"/>
          <w:kern w:val="0"/>
          <w:sz w:val="32"/>
          <w:szCs w:val="24"/>
        </w:rPr>
        <w:t>减少-0.39</w:t>
      </w:r>
      <w:r>
        <w:rPr>
          <w:rFonts w:hint="eastAsia" w:ascii="仿宋_GB2312" w:hAnsi="仿宋_GB2312" w:eastAsia="仿宋_GB2312"/>
          <w:color w:val="auto"/>
          <w:kern w:val="0"/>
          <w:sz w:val="32"/>
          <w:szCs w:val="24"/>
        </w:rPr>
        <w:t>万元，主要原因是</w:t>
      </w:r>
      <w:r>
        <w:rPr>
          <w:rFonts w:hint="eastAsia" w:ascii="仿宋_GB2312" w:hAnsi="仿宋_GB2312" w:eastAsia="仿宋_GB2312"/>
          <w:color w:val="auto"/>
          <w:kern w:val="0"/>
          <w:sz w:val="32"/>
          <w:szCs w:val="24"/>
          <w:lang w:val="en-US" w:eastAsia="zh-CN"/>
        </w:rPr>
        <w:t>近两年受疫情影响公务用车使用较少</w:t>
      </w:r>
      <w:r>
        <w:rPr>
          <w:rFonts w:hint="eastAsia" w:ascii="仿宋_GB2312" w:hAnsi="仿宋_GB2312" w:eastAsia="仿宋_GB2312"/>
          <w:color w:val="auto"/>
          <w:kern w:val="0"/>
          <w:sz w:val="32"/>
          <w:szCs w:val="24"/>
        </w:rPr>
        <w:t>，财政拨款开支的公务用车保有量为</w:t>
      </w:r>
      <w:r>
        <w:rPr>
          <w:rFonts w:hint="eastAsia" w:ascii="仿宋_GB2312" w:hAnsi="仿宋_GB2312" w:eastAsia="仿宋_GB2312"/>
          <w:color w:val="auto"/>
          <w:kern w:val="0"/>
          <w:sz w:val="32"/>
          <w:szCs w:val="24"/>
        </w:rPr>
        <w:t>1</w:t>
      </w:r>
      <w:r>
        <w:rPr>
          <w:rFonts w:hint="eastAsia" w:ascii="仿宋_GB2312" w:hAnsi="仿宋_GB2312" w:eastAsia="仿宋_GB2312"/>
          <w:color w:val="auto"/>
          <w:kern w:val="0"/>
          <w:sz w:val="32"/>
          <w:szCs w:val="24"/>
        </w:rPr>
        <w:t>辆。</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rPr>
      </w:pPr>
      <w:r>
        <w:rPr>
          <w:rFonts w:hint="eastAsia" w:ascii="仿宋_GB2312" w:hAnsi="仿宋_GB2312" w:eastAsia="仿宋_GB2312"/>
          <w:color w:val="auto"/>
          <w:kern w:val="0"/>
          <w:sz w:val="32"/>
          <w:szCs w:val="24"/>
        </w:rPr>
        <w:t>公务接待费支出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万元。其中：国内公务接待费</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万元，接待</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批次，共接待</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人次。国（境）外接待费</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万元，接待</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批次，共接待</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人次。</w:t>
      </w:r>
    </w:p>
    <w:p>
      <w:pPr>
        <w:spacing w:before="100" w:beforeLines="0" w:after="100" w:afterLines="0" w:line="580" w:lineRule="atLeast"/>
        <w:ind w:firstLine="600"/>
        <w:rPr>
          <w:rFonts w:hint="default" w:ascii="Times New Roman" w:hAnsi="Times New Roman" w:eastAsia="Times New Roman"/>
          <w:b/>
          <w:color w:val="auto"/>
          <w:kern w:val="0"/>
          <w:sz w:val="24"/>
          <w:szCs w:val="24"/>
        </w:rPr>
      </w:pPr>
      <w:r>
        <w:rPr>
          <w:rFonts w:hint="eastAsia" w:ascii="楷体" w:hAnsi="楷体" w:eastAsia="楷体"/>
          <w:b/>
          <w:color w:val="auto"/>
          <w:kern w:val="0"/>
          <w:sz w:val="32"/>
          <w:szCs w:val="24"/>
        </w:rPr>
        <w:t>（八）关于2021年度政府性基金预算财政拨款支出决算情况说明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2021年度政府性基金预算收入决算0万元。本年无政府性基金预算拨款支出。</w:t>
      </w:r>
    </w:p>
    <w:p>
      <w:pPr>
        <w:spacing w:before="100" w:beforeLines="0" w:after="100" w:afterLines="0" w:line="580" w:lineRule="atLeast"/>
        <w:ind w:firstLine="600"/>
        <w:rPr>
          <w:rFonts w:hint="default" w:ascii="Times New Roman" w:hAnsi="Times New Roman" w:eastAsia="Times New Roman"/>
          <w:b/>
          <w:color w:val="auto"/>
          <w:kern w:val="0"/>
          <w:sz w:val="32"/>
          <w:szCs w:val="24"/>
        </w:rPr>
      </w:pPr>
      <w:r>
        <w:rPr>
          <w:rFonts w:hint="eastAsia" w:ascii="楷体" w:hAnsi="楷体" w:eastAsia="楷体"/>
          <w:b/>
          <w:color w:val="auto"/>
          <w:kern w:val="0"/>
          <w:sz w:val="32"/>
          <w:szCs w:val="24"/>
        </w:rPr>
        <w:t>（九）关于2021年度国有资本经营预算支出决算情况说明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2021年度国有资本经营预算收入决算0万元，本年无国有资本经营预算拨款支出。</w:t>
      </w:r>
    </w:p>
    <w:p>
      <w:pPr>
        <w:spacing w:before="100" w:beforeLines="0" w:after="100" w:afterLines="0" w:line="580" w:lineRule="atLeast"/>
        <w:ind w:firstLine="600"/>
        <w:rPr>
          <w:rFonts w:hint="default" w:ascii="Times New Roman" w:hAnsi="Times New Roman" w:eastAsia="Times New Roman"/>
          <w:b/>
          <w:color w:val="auto"/>
          <w:kern w:val="0"/>
          <w:sz w:val="32"/>
          <w:szCs w:val="24"/>
        </w:rPr>
      </w:pPr>
      <w:r>
        <w:rPr>
          <w:rFonts w:hint="eastAsia" w:ascii="楷体" w:hAnsi="楷体" w:eastAsia="楷体"/>
          <w:b/>
          <w:color w:val="auto"/>
          <w:kern w:val="0"/>
          <w:sz w:val="32"/>
          <w:szCs w:val="24"/>
        </w:rPr>
        <w:t>（十）关于2021年度项目支出决算情况说明</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2021年，部门（单位）预算安排项目</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个，实施项目</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个，完成项目</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个，项目支出总金额</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万元。财政本年拨款金额</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万元，财政拨款结转结余</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万元，其他资金结转结余</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w:t>
      </w:r>
    </w:p>
    <w:p>
      <w:pPr>
        <w:spacing w:before="100" w:beforeLines="0" w:after="100" w:afterLines="0" w:line="580" w:lineRule="atLeast"/>
        <w:ind w:firstLine="600"/>
        <w:jc w:val="left"/>
        <w:rPr>
          <w:rFonts w:hint="default" w:ascii="Times New Roman" w:hAnsi="Times New Roman" w:eastAsia="Times New Roman"/>
          <w:b/>
          <w:color w:val="auto"/>
          <w:kern w:val="0"/>
          <w:sz w:val="32"/>
          <w:szCs w:val="24"/>
        </w:rPr>
      </w:pPr>
      <w:r>
        <w:rPr>
          <w:rFonts w:hint="default" w:ascii="Times New Roman" w:hAnsi="Times New Roman" w:eastAsia="Times New Roman"/>
          <w:color w:val="auto"/>
          <w:kern w:val="0"/>
          <w:sz w:val="32"/>
          <w:szCs w:val="24"/>
        </w:rPr>
        <w:t xml:space="preserve"> </w:t>
      </w:r>
      <w:r>
        <w:rPr>
          <w:rFonts w:hint="eastAsia" w:ascii="楷体" w:hAnsi="楷体" w:eastAsia="楷体"/>
          <w:b/>
          <w:color w:val="auto"/>
          <w:kern w:val="0"/>
          <w:sz w:val="32"/>
          <w:szCs w:val="24"/>
        </w:rPr>
        <w:t>（十一）政府采购支出情况</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本部门2021年度政府采购支出合计</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万元，其中：政府采购货物支出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万元，比2020年</w:t>
      </w:r>
      <w:r>
        <w:rPr>
          <w:rFonts w:hint="eastAsia" w:ascii="仿宋_GB2312" w:hAnsi="仿宋_GB2312" w:eastAsia="仿宋_GB2312"/>
          <w:color w:val="auto"/>
          <w:kern w:val="0"/>
          <w:sz w:val="32"/>
          <w:szCs w:val="24"/>
          <w:lang w:val="en-US" w:eastAsia="zh-CN"/>
        </w:rPr>
        <w:t>无变化</w:t>
      </w:r>
      <w:r>
        <w:rPr>
          <w:rFonts w:hint="eastAsia"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政府采购服务支出</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万元，比2020年</w:t>
      </w:r>
      <w:r>
        <w:rPr>
          <w:rFonts w:hint="eastAsia" w:ascii="仿宋_GB2312" w:hAnsi="仿宋_GB2312" w:eastAsia="仿宋_GB2312"/>
          <w:color w:val="auto"/>
          <w:kern w:val="0"/>
          <w:sz w:val="32"/>
          <w:szCs w:val="24"/>
          <w:lang w:val="en-US" w:eastAsia="zh-CN"/>
        </w:rPr>
        <w:t>无变化</w:t>
      </w:r>
      <w:r>
        <w:rPr>
          <w:rFonts w:hint="eastAsia" w:ascii="仿宋_GB2312" w:hAnsi="仿宋_GB2312" w:eastAsia="仿宋_GB2312"/>
          <w:color w:val="auto"/>
          <w:kern w:val="0"/>
          <w:sz w:val="32"/>
          <w:szCs w:val="24"/>
        </w:rPr>
        <w:t>。授予中小企业合同金额</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万元，占政府采购支出合同总额的</w:t>
      </w:r>
      <w:r>
        <w:rPr>
          <w:rFonts w:hint="eastAsia" w:ascii="仿宋_GB2312" w:hAnsi="仿宋_GB2312" w:eastAsia="仿宋_GB2312"/>
          <w:color w:val="auto"/>
          <w:kern w:val="0"/>
          <w:sz w:val="32"/>
          <w:szCs w:val="24"/>
          <w:lang w:val="en-US" w:eastAsia="zh-CN"/>
        </w:rPr>
        <w:t>0</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32"/>
          <w:szCs w:val="24"/>
        </w:rPr>
      </w:pPr>
      <w:r>
        <w:rPr>
          <w:rFonts w:hint="eastAsia" w:ascii="楷体" w:hAnsi="楷体" w:eastAsia="楷体"/>
          <w:b/>
          <w:color w:val="auto"/>
          <w:kern w:val="0"/>
          <w:sz w:val="32"/>
          <w:szCs w:val="24"/>
        </w:rPr>
        <w:t>（十二）机关运行经费支出情况</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本部门2021年度机关运行经费支出</w:t>
      </w:r>
      <w:r>
        <w:rPr>
          <w:rFonts w:hint="eastAsia" w:ascii="仿宋_GB2312" w:hAnsi="仿宋_GB2312" w:eastAsia="仿宋_GB2312"/>
          <w:color w:val="auto"/>
          <w:kern w:val="0"/>
          <w:sz w:val="32"/>
          <w:szCs w:val="24"/>
        </w:rPr>
        <w:t>212.14</w:t>
      </w:r>
      <w:r>
        <w:rPr>
          <w:rFonts w:hint="eastAsia" w:ascii="仿宋_GB2312" w:hAnsi="仿宋_GB2312" w:eastAsia="仿宋_GB2312"/>
          <w:color w:val="auto"/>
          <w:kern w:val="0"/>
          <w:sz w:val="32"/>
          <w:szCs w:val="24"/>
        </w:rPr>
        <w:t>万元，比2020年</w:t>
      </w:r>
      <w:r>
        <w:rPr>
          <w:rFonts w:hint="eastAsia" w:ascii="仿宋_GB2312" w:hAnsi="仿宋_GB2312" w:eastAsia="仿宋_GB2312"/>
          <w:color w:val="auto"/>
          <w:kern w:val="0"/>
          <w:sz w:val="32"/>
          <w:szCs w:val="24"/>
        </w:rPr>
        <w:t>增加106.21</w:t>
      </w:r>
      <w:r>
        <w:rPr>
          <w:rFonts w:hint="eastAsia" w:ascii="仿宋_GB2312" w:hAnsi="仿宋_GB2312" w:eastAsia="仿宋_GB2312"/>
          <w:color w:val="auto"/>
          <w:kern w:val="0"/>
          <w:sz w:val="32"/>
          <w:szCs w:val="24"/>
        </w:rPr>
        <w:t>万元，</w:t>
      </w:r>
      <w:r>
        <w:rPr>
          <w:rFonts w:hint="eastAsia" w:ascii="仿宋_GB2312" w:hAnsi="仿宋_GB2312" w:eastAsia="仿宋_GB2312"/>
          <w:color w:val="auto"/>
          <w:kern w:val="0"/>
          <w:sz w:val="32"/>
          <w:szCs w:val="24"/>
        </w:rPr>
        <w:t>增长100.27</w:t>
      </w:r>
      <w:r>
        <w:rPr>
          <w:rFonts w:hint="eastAsia" w:ascii="仿宋_GB2312" w:hAnsi="仿宋_GB2312" w:eastAsia="仿宋_GB2312"/>
          <w:color w:val="auto"/>
          <w:kern w:val="0"/>
          <w:sz w:val="32"/>
          <w:szCs w:val="24"/>
        </w:rPr>
        <w:t>%。主要原因是：</w:t>
      </w:r>
      <w:r>
        <w:rPr>
          <w:rFonts w:hint="eastAsia" w:ascii="仿宋_GB2312" w:hAnsi="仿宋_GB2312" w:eastAsia="仿宋_GB2312"/>
          <w:color w:val="auto"/>
          <w:kern w:val="0"/>
          <w:sz w:val="32"/>
          <w:szCs w:val="24"/>
          <w:lang w:val="en-US" w:eastAsia="zh-CN"/>
        </w:rPr>
        <w:t>委托业务费</w:t>
      </w:r>
      <w:r>
        <w:rPr>
          <w:rFonts w:hint="eastAsia" w:ascii="仿宋_GB2312" w:hAnsi="仿宋_GB2312" w:eastAsia="仿宋_GB2312"/>
          <w:color w:val="auto"/>
          <w:kern w:val="0"/>
          <w:sz w:val="32"/>
          <w:szCs w:val="24"/>
          <w:lang w:eastAsia="zh-CN"/>
        </w:rPr>
        <w:t>（</w:t>
      </w:r>
      <w:r>
        <w:rPr>
          <w:rFonts w:hint="eastAsia" w:ascii="仿宋_GB2312" w:hAnsi="仿宋_GB2312" w:eastAsia="仿宋_GB2312"/>
          <w:color w:val="auto"/>
          <w:kern w:val="0"/>
          <w:sz w:val="32"/>
          <w:szCs w:val="24"/>
          <w:lang w:val="en-US" w:eastAsia="zh-CN"/>
        </w:rPr>
        <w:t>中介审计服务费）增加</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32"/>
          <w:szCs w:val="24"/>
        </w:rPr>
      </w:pPr>
      <w:r>
        <w:rPr>
          <w:rFonts w:hint="eastAsia" w:ascii="楷体" w:hAnsi="楷体" w:eastAsia="楷体"/>
          <w:b/>
          <w:color w:val="auto"/>
          <w:kern w:val="0"/>
          <w:sz w:val="32"/>
          <w:szCs w:val="24"/>
        </w:rPr>
        <w:t>（十三）国有资产占用情况</w:t>
      </w:r>
    </w:p>
    <w:p>
      <w:pPr>
        <w:spacing w:before="100" w:beforeLines="0" w:after="100" w:afterLines="0" w:line="580" w:lineRule="atLeast"/>
        <w:ind w:firstLine="600"/>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截至2021年12月31日，本部门共有车辆</w:t>
      </w:r>
      <w:r>
        <w:rPr>
          <w:rFonts w:hint="eastAsia" w:ascii="仿宋_GB2312" w:hAnsi="仿宋_GB2312" w:eastAsia="仿宋_GB2312"/>
          <w:color w:val="auto"/>
          <w:kern w:val="0"/>
          <w:sz w:val="32"/>
          <w:szCs w:val="24"/>
        </w:rPr>
        <w:t>1</w:t>
      </w:r>
      <w:r>
        <w:rPr>
          <w:rFonts w:hint="eastAsia" w:ascii="仿宋_GB2312" w:hAnsi="仿宋_GB2312" w:eastAsia="仿宋_GB2312"/>
          <w:color w:val="auto"/>
          <w:kern w:val="0"/>
          <w:sz w:val="32"/>
          <w:szCs w:val="24"/>
        </w:rPr>
        <w:t>辆，其中，副部（省）级及以上领导用车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主要领导干部用车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机要通信用车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应急保障用车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执法执勤用车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特种专业技术用车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离退休干部用车</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辆、</w:t>
      </w:r>
      <w:r>
        <w:rPr>
          <w:rFonts w:hint="eastAsia" w:ascii="仿宋_GB2312" w:hAnsi="仿宋_GB2312" w:eastAsia="仿宋_GB2312"/>
          <w:color w:val="auto"/>
          <w:kern w:val="0"/>
          <w:sz w:val="32"/>
          <w:szCs w:val="24"/>
        </w:rPr>
        <w:t>其他用车</w:t>
      </w:r>
      <w:r>
        <w:rPr>
          <w:rFonts w:hint="eastAsia" w:ascii="仿宋_GB2312" w:hAnsi="仿宋_GB2312" w:eastAsia="仿宋_GB2312"/>
          <w:color w:val="auto"/>
          <w:kern w:val="0"/>
          <w:sz w:val="32"/>
          <w:szCs w:val="24"/>
        </w:rPr>
        <w:t>1</w:t>
      </w:r>
      <w:r>
        <w:rPr>
          <w:rFonts w:hint="eastAsia" w:ascii="仿宋_GB2312" w:hAnsi="仿宋_GB2312" w:eastAsia="仿宋_GB2312"/>
          <w:color w:val="auto"/>
          <w:kern w:val="0"/>
          <w:sz w:val="32"/>
          <w:szCs w:val="24"/>
        </w:rPr>
        <w:t>辆；单位价值50万元以上通用设备</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台（套），比2020年</w:t>
      </w:r>
      <w:r>
        <w:rPr>
          <w:rFonts w:hint="eastAsia" w:ascii="仿宋_GB2312" w:hAnsi="仿宋_GB2312" w:eastAsia="仿宋_GB2312"/>
          <w:color w:val="auto"/>
          <w:kern w:val="0"/>
          <w:sz w:val="32"/>
          <w:szCs w:val="24"/>
          <w:lang w:val="en-US" w:eastAsia="zh-CN"/>
        </w:rPr>
        <w:t>无变化</w:t>
      </w:r>
      <w:r>
        <w:rPr>
          <w:rFonts w:hint="eastAsia"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单位价值100万元以上专用设备</w:t>
      </w:r>
      <w:r>
        <w:rPr>
          <w:rFonts w:hint="eastAsia" w:ascii="仿宋_GB2312" w:hAnsi="仿宋_GB2312" w:eastAsia="仿宋_GB2312"/>
          <w:color w:val="auto"/>
          <w:kern w:val="0"/>
          <w:sz w:val="32"/>
          <w:szCs w:val="24"/>
        </w:rPr>
        <w:t>0</w:t>
      </w:r>
      <w:r>
        <w:rPr>
          <w:rFonts w:hint="eastAsia" w:ascii="仿宋_GB2312" w:hAnsi="仿宋_GB2312" w:eastAsia="仿宋_GB2312"/>
          <w:color w:val="auto"/>
          <w:kern w:val="0"/>
          <w:sz w:val="32"/>
          <w:szCs w:val="24"/>
        </w:rPr>
        <w:t>台（套），比2020年</w:t>
      </w:r>
      <w:r>
        <w:rPr>
          <w:rFonts w:hint="eastAsia" w:ascii="仿宋_GB2312" w:hAnsi="仿宋_GB2312" w:eastAsia="仿宋_GB2312"/>
          <w:color w:val="auto"/>
          <w:kern w:val="0"/>
          <w:sz w:val="32"/>
          <w:szCs w:val="24"/>
          <w:lang w:val="en-US" w:eastAsia="zh-CN"/>
        </w:rPr>
        <w:t>无变化</w:t>
      </w:r>
      <w:r>
        <w:rPr>
          <w:rFonts w:hint="eastAsia" w:ascii="仿宋_GB2312" w:hAnsi="仿宋_GB2312" w:eastAsia="仿宋_GB2312"/>
          <w:color w:val="auto"/>
          <w:kern w:val="0"/>
          <w:sz w:val="32"/>
          <w:szCs w:val="24"/>
        </w:rPr>
        <w:t>。</w:t>
      </w:r>
    </w:p>
    <w:p>
      <w:pPr>
        <w:spacing w:before="100" w:beforeLines="0" w:after="100" w:afterLines="0" w:line="580" w:lineRule="atLeast"/>
        <w:ind w:firstLine="600"/>
        <w:rPr>
          <w:rFonts w:hint="default" w:ascii="Times New Roman" w:hAnsi="Times New Roman" w:eastAsia="Times New Roman"/>
          <w:b/>
          <w:color w:val="auto"/>
          <w:kern w:val="0"/>
          <w:sz w:val="32"/>
          <w:szCs w:val="24"/>
        </w:rPr>
      </w:pPr>
      <w:r>
        <w:rPr>
          <w:rFonts w:hint="eastAsia" w:ascii="仿宋_GB2312" w:hAnsi="仿宋_GB2312" w:eastAsia="仿宋_GB2312"/>
          <w:b/>
          <w:color w:val="auto"/>
          <w:kern w:val="0"/>
          <w:sz w:val="32"/>
          <w:szCs w:val="24"/>
        </w:rPr>
        <w:t>三、预算绩效评价工作开展情况</w:t>
      </w:r>
    </w:p>
    <w:p>
      <w:pPr>
        <w:spacing w:beforeLines="0" w:afterLines="0" w:line="580" w:lineRule="exact"/>
        <w:ind w:firstLine="600"/>
        <w:rPr>
          <w:rFonts w:hint="default" w:ascii="Times New Roman" w:hAnsi="Times New Roman" w:eastAsia="Times New Roman"/>
          <w:color w:val="auto"/>
          <w:sz w:val="32"/>
          <w:szCs w:val="24"/>
        </w:rPr>
      </w:pPr>
      <w:r>
        <w:rPr>
          <w:rFonts w:hint="eastAsia" w:ascii="仿宋_GB2312" w:hAnsi="仿宋_GB2312" w:eastAsia="仿宋_GB2312"/>
          <w:color w:val="auto"/>
          <w:sz w:val="32"/>
          <w:szCs w:val="24"/>
        </w:rPr>
        <w:t>（一）预算绩效管理工作开展情况</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olor w:val="auto"/>
          <w:kern w:val="0"/>
          <w:sz w:val="32"/>
          <w:szCs w:val="24"/>
          <w:lang w:eastAsia="zh-CN"/>
        </w:rPr>
      </w:pPr>
      <w:r>
        <w:rPr>
          <w:rFonts w:hint="eastAsia" w:ascii="仿宋_GB2312" w:hAnsi="仿宋_GB2312" w:eastAsia="仿宋_GB2312"/>
          <w:color w:val="auto"/>
          <w:kern w:val="0"/>
          <w:sz w:val="32"/>
          <w:szCs w:val="24"/>
          <w:lang w:val="en-US" w:eastAsia="zh-CN"/>
        </w:rPr>
        <w:t>由于本年度无项目支出，</w:t>
      </w:r>
      <w:r>
        <w:rPr>
          <w:rFonts w:hint="eastAsia" w:ascii="仿宋_GB2312" w:hAnsi="仿宋_GB2312" w:eastAsia="仿宋_GB2312"/>
          <w:color w:val="auto"/>
          <w:kern w:val="0"/>
          <w:sz w:val="32"/>
          <w:szCs w:val="24"/>
        </w:rPr>
        <w:t>我部门2021年度</w:t>
      </w:r>
      <w:r>
        <w:rPr>
          <w:rFonts w:hint="eastAsia" w:ascii="仿宋_GB2312" w:hAnsi="仿宋_GB2312" w:eastAsia="仿宋_GB2312"/>
          <w:color w:val="auto"/>
          <w:kern w:val="0"/>
          <w:sz w:val="32"/>
          <w:szCs w:val="24"/>
          <w:lang w:val="en-US" w:eastAsia="zh-CN"/>
        </w:rPr>
        <w:t>未开展</w:t>
      </w:r>
      <w:r>
        <w:rPr>
          <w:rFonts w:hint="eastAsia" w:ascii="仿宋_GB2312" w:hAnsi="仿宋_GB2312" w:eastAsia="仿宋_GB2312"/>
          <w:color w:val="auto"/>
          <w:kern w:val="0"/>
          <w:sz w:val="32"/>
          <w:szCs w:val="24"/>
        </w:rPr>
        <w:t>一般公共预算项目支出自评</w:t>
      </w:r>
      <w:r>
        <w:rPr>
          <w:rFonts w:hint="eastAsia" w:ascii="仿宋_GB2312" w:hAnsi="仿宋_GB2312" w:eastAsia="仿宋_GB2312"/>
          <w:color w:val="auto"/>
          <w:kern w:val="0"/>
          <w:sz w:val="32"/>
          <w:szCs w:val="24"/>
          <w:lang w:eastAsia="zh-CN"/>
        </w:rPr>
        <w:t>。</w:t>
      </w:r>
    </w:p>
    <w:p>
      <w:pPr>
        <w:numPr>
          <w:ilvl w:val="0"/>
          <w:numId w:val="1"/>
        </w:numPr>
        <w:spacing w:beforeLines="0" w:afterLines="0" w:line="580" w:lineRule="exact"/>
        <w:ind w:firstLine="60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部门决算中项目绩效自评结果</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由于本年度无项目支出，</w:t>
      </w:r>
      <w:r>
        <w:rPr>
          <w:rFonts w:hint="eastAsia" w:ascii="仿宋_GB2312" w:hAnsi="仿宋_GB2312" w:eastAsia="仿宋_GB2312"/>
          <w:color w:val="auto"/>
          <w:kern w:val="0"/>
          <w:sz w:val="32"/>
          <w:szCs w:val="24"/>
        </w:rPr>
        <w:t>我部门2021年度</w:t>
      </w:r>
      <w:r>
        <w:rPr>
          <w:rFonts w:hint="eastAsia" w:ascii="仿宋_GB2312" w:hAnsi="仿宋_GB2312" w:eastAsia="仿宋_GB2312"/>
          <w:color w:val="auto"/>
          <w:kern w:val="0"/>
          <w:sz w:val="32"/>
          <w:szCs w:val="24"/>
          <w:lang w:val="en-US" w:eastAsia="zh-CN"/>
        </w:rPr>
        <w:t>未开展</w:t>
      </w:r>
      <w:r>
        <w:rPr>
          <w:rFonts w:hint="eastAsia" w:ascii="仿宋_GB2312" w:hAnsi="仿宋_GB2312" w:eastAsia="仿宋_GB2312"/>
          <w:color w:val="auto"/>
          <w:kern w:val="0"/>
          <w:sz w:val="32"/>
          <w:szCs w:val="24"/>
        </w:rPr>
        <w:t>一般公共预算项目支出自评</w:t>
      </w:r>
      <w:r>
        <w:rPr>
          <w:rFonts w:hint="eastAsia" w:ascii="仿宋_GB2312" w:hAnsi="仿宋_GB2312" w:eastAsia="仿宋_GB2312"/>
          <w:color w:val="auto"/>
          <w:kern w:val="0"/>
          <w:sz w:val="32"/>
          <w:szCs w:val="24"/>
          <w:lang w:eastAsia="zh-CN"/>
        </w:rPr>
        <w:t>。</w:t>
      </w:r>
    </w:p>
    <w:p>
      <w:pPr>
        <w:numPr>
          <w:ilvl w:val="0"/>
          <w:numId w:val="1"/>
        </w:numPr>
        <w:spacing w:beforeLines="0" w:afterLines="0" w:line="580" w:lineRule="exact"/>
        <w:ind w:left="0" w:leftChars="0" w:firstLine="600" w:firstLineChars="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部门评价项目绩效评价结果。</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lang w:val="en-US" w:eastAsia="zh-CN"/>
        </w:rPr>
        <w:t>由于本年度无项目支出，</w:t>
      </w:r>
      <w:r>
        <w:rPr>
          <w:rFonts w:hint="eastAsia" w:ascii="仿宋_GB2312" w:hAnsi="仿宋_GB2312" w:eastAsia="仿宋_GB2312"/>
          <w:color w:val="auto"/>
          <w:kern w:val="0"/>
          <w:sz w:val="32"/>
          <w:szCs w:val="24"/>
        </w:rPr>
        <w:t>我部门2021年度</w:t>
      </w:r>
      <w:r>
        <w:rPr>
          <w:rFonts w:hint="eastAsia" w:ascii="仿宋_GB2312" w:hAnsi="仿宋_GB2312" w:eastAsia="仿宋_GB2312"/>
          <w:color w:val="auto"/>
          <w:kern w:val="0"/>
          <w:sz w:val="32"/>
          <w:szCs w:val="24"/>
          <w:lang w:val="en-US" w:eastAsia="zh-CN"/>
        </w:rPr>
        <w:t>未开展</w:t>
      </w:r>
      <w:r>
        <w:rPr>
          <w:rFonts w:hint="eastAsia" w:ascii="仿宋_GB2312" w:hAnsi="仿宋_GB2312" w:eastAsia="仿宋_GB2312"/>
          <w:color w:val="auto"/>
          <w:kern w:val="0"/>
          <w:sz w:val="32"/>
          <w:szCs w:val="24"/>
        </w:rPr>
        <w:t>一般公共预算项目支出自评</w:t>
      </w:r>
      <w:r>
        <w:rPr>
          <w:rFonts w:hint="eastAsia" w:ascii="仿宋_GB2312" w:hAnsi="仿宋_GB2312" w:eastAsia="仿宋_GB2312"/>
          <w:color w:val="auto"/>
          <w:kern w:val="0"/>
          <w:sz w:val="32"/>
          <w:szCs w:val="24"/>
          <w:lang w:eastAsia="zh-CN"/>
        </w:rPr>
        <w:t>。</w:t>
      </w:r>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eastAsia" w:ascii="仿宋_GB2312" w:hAnsi="仿宋_GB2312" w:eastAsia="仿宋_GB2312"/>
          <w:b/>
          <w:color w:val="auto"/>
          <w:kern w:val="0"/>
          <w:sz w:val="32"/>
          <w:szCs w:val="24"/>
        </w:rPr>
        <w:t>第三部分 名词解释</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（一）财政拨款收入：指本年度从本级财政部门取得的财政拨款，包括一般公共预算财政拨款、政府性基金预算财政拨款和国有资本经营预算财政拨款。</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（二）事业收入：指事业单位开展专业业务活动及其辅助活动取得的收入；事业单位收到的财政专户实际核拨的教育收费等资金。</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（三）经营收入：指事业单位在专业业务活动及其辅助活动之外开展非独立核算经营活动取得的收入。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（五）使用非财政拨款结余：指事业单位使用以前年度积累的非财政拨款结余弥补当年收支差额的金额。</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（六）年初结转和结余：指以前年度支出预算因客观条件变化未执行完毕、结转到本年度按有关规定继续使用的资金。</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（七）结余分配：指事业单位按照会计制度规定缴纳的所得税以及从非财政拨款结余中提取的职工福利基金、事业基金等。</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（八）年末结转和结余：指单位本年度或以前年度预算安排、因客观条件发生变化未全部执行或未执行，结转到以后年度继续使用的资金，或项目已完成等产生的结余资金。</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（九）基本支出：指为保障机构正常运转、完成日常工作任务而发生的人员经费和公用经费。其中：人员经费指政府收支分类经济科目中的</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工资福利支出</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和</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对个人和家庭的补助</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；公用经费指政府收支分类经济科目中除</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工资福利支出</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和</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对个人和家庭的补助</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外的其他支出。</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（十）项目支出：指在基本支出之外为完成特定任务和事业发展目标所发生的支出。</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（十一）经营支出：指事业单位在专业业务活动及其辅助活动之外开展非独立核算经营活动发生的支出。</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（十二）</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三公</w:t>
      </w:r>
      <w:r>
        <w:rPr>
          <w:rFonts w:hint="default" w:ascii="仿宋_GB2312" w:hAnsi="仿宋_GB2312" w:eastAsia="仿宋_GB2312"/>
          <w:color w:val="auto"/>
          <w:kern w:val="0"/>
          <w:sz w:val="32"/>
          <w:szCs w:val="24"/>
        </w:rPr>
        <w:t>”</w:t>
      </w:r>
      <w:r>
        <w:rPr>
          <w:rFonts w:hint="eastAsia" w:ascii="仿宋_GB2312" w:hAnsi="仿宋_GB2312" w:eastAsia="仿宋_GB2312"/>
          <w:color w:val="auto"/>
          <w:kern w:val="0"/>
          <w:sz w:val="32"/>
          <w:szCs w:val="24"/>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（十四）工资福利支出（支出经济分类科目类级）：反映单位开支的在职职工和编制外长期聘用人员的各类劳动报酬，以及为上述人员缴纳的各项社会保险费等。</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（十五）商品和服务支出（支出经济分类科目类级）：反映单位购买商品和服务的支出（不包括用于购置固定资产的支出、战略性和应急储备支出）。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（十六）对个人和家庭的补助（支出经济分类科目类级）：反映用于对个人和家庭的补助支出。</w:t>
      </w:r>
    </w:p>
    <w:p>
      <w:pPr>
        <w:keepNext w:val="0"/>
        <w:keepLines w:val="0"/>
        <w:pageBreakBefore w:val="0"/>
        <w:widowControl/>
        <w:kinsoku/>
        <w:wordWrap/>
        <w:overflowPunct/>
        <w:topLinePunct w:val="0"/>
        <w:autoSpaceDE/>
        <w:autoSpaceDN/>
        <w:bidi w:val="0"/>
        <w:adjustRightInd/>
        <w:snapToGrid/>
        <w:spacing w:beforeLines="0" w:afterLines="0" w:line="600" w:lineRule="exact"/>
        <w:ind w:firstLine="640" w:firstLineChars="200"/>
        <w:textAlignment w:val="auto"/>
        <w:rPr>
          <w:rFonts w:hint="default" w:ascii="仿宋_GB2312" w:hAnsi="仿宋_GB2312" w:eastAsia="仿宋_GB2312"/>
          <w:color w:val="auto"/>
          <w:kern w:val="0"/>
          <w:sz w:val="32"/>
          <w:szCs w:val="24"/>
        </w:rPr>
      </w:pPr>
      <w:r>
        <w:rPr>
          <w:rFonts w:hint="eastAsia" w:ascii="仿宋_GB2312" w:hAnsi="仿宋_GB2312" w:eastAsia="仿宋_GB2312"/>
          <w:color w:val="auto"/>
          <w:kern w:val="0"/>
          <w:sz w:val="32"/>
          <w:szCs w:val="24"/>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default" w:ascii="Times New Roman" w:hAnsi="Times New Roman" w:eastAsia="Times New Roman"/>
          <w:color w:val="auto"/>
          <w:kern w:val="0"/>
          <w:sz w:val="32"/>
          <w:szCs w:val="24"/>
        </w:rPr>
        <w:t xml:space="preserve"> </w:t>
      </w:r>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eastAsia" w:ascii="仿宋_GB2312" w:hAnsi="仿宋_GB2312" w:eastAsia="仿宋_GB2312"/>
          <w:b/>
          <w:color w:val="auto"/>
          <w:kern w:val="0"/>
          <w:sz w:val="32"/>
          <w:szCs w:val="24"/>
        </w:rPr>
        <w:t>第四部分 决算公开联系方式及信息反馈渠道</w:t>
      </w:r>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本单位决算公开信息反馈和联系方式：</w:t>
      </w:r>
      <w:bookmarkStart w:id="0" w:name="_GoBack"/>
      <w:bookmarkEnd w:id="0"/>
    </w:p>
    <w:p>
      <w:pPr>
        <w:spacing w:before="100" w:beforeLines="0" w:after="100" w:afterLines="0" w:line="580" w:lineRule="atLeast"/>
        <w:ind w:firstLine="600"/>
        <w:jc w:val="left"/>
        <w:rPr>
          <w:rFonts w:hint="default" w:ascii="Times New Roman" w:hAnsi="Times New Roman" w:eastAsia="Times New Roman"/>
          <w:color w:val="auto"/>
          <w:kern w:val="0"/>
          <w:sz w:val="24"/>
          <w:szCs w:val="24"/>
        </w:rPr>
      </w:pPr>
      <w:r>
        <w:rPr>
          <w:rFonts w:hint="eastAsia" w:ascii="仿宋_GB2312" w:hAnsi="仿宋_GB2312" w:eastAsia="仿宋_GB2312"/>
          <w:color w:val="auto"/>
          <w:kern w:val="0"/>
          <w:sz w:val="32"/>
          <w:szCs w:val="24"/>
        </w:rPr>
        <w:t>联系人：</w:t>
      </w:r>
      <w:r>
        <w:rPr>
          <w:rFonts w:hint="eastAsia" w:ascii="仿宋_GB2312" w:hAnsi="仿宋_GB2312" w:eastAsia="仿宋_GB2312"/>
          <w:color w:val="auto"/>
          <w:kern w:val="0"/>
          <w:sz w:val="32"/>
          <w:szCs w:val="24"/>
        </w:rPr>
        <w:t xml:space="preserve">萨琦尔 </w:t>
      </w:r>
      <w:r>
        <w:rPr>
          <w:rFonts w:hint="default" w:ascii="Times New Roman" w:hAnsi="Times New Roman" w:eastAsia="Times New Roman"/>
          <w:color w:val="auto"/>
          <w:kern w:val="0"/>
          <w:sz w:val="32"/>
          <w:szCs w:val="24"/>
        </w:rPr>
        <w:t xml:space="preserve">   </w:t>
      </w:r>
      <w:r>
        <w:rPr>
          <w:rFonts w:hint="eastAsia" w:ascii="仿宋_GB2312" w:hAnsi="仿宋_GB2312" w:eastAsia="仿宋_GB2312"/>
          <w:color w:val="auto"/>
          <w:kern w:val="0"/>
          <w:sz w:val="32"/>
          <w:szCs w:val="24"/>
        </w:rPr>
        <w:t>联系电话：</w:t>
      </w:r>
      <w:r>
        <w:rPr>
          <w:rFonts w:hint="eastAsia" w:ascii="仿宋_GB2312" w:hAnsi="仿宋_GB2312" w:eastAsia="仿宋_GB2312"/>
          <w:color w:val="auto"/>
          <w:kern w:val="0"/>
          <w:sz w:val="32"/>
          <w:szCs w:val="24"/>
        </w:rPr>
        <w:t>0470</w:t>
      </w:r>
      <w:r>
        <w:rPr>
          <w:rFonts w:hint="default" w:ascii="Times New Roman" w:hAnsi="Times New Roman" w:eastAsia="Times New Roman"/>
          <w:color w:val="auto"/>
          <w:kern w:val="0"/>
          <w:sz w:val="32"/>
          <w:szCs w:val="24"/>
        </w:rPr>
        <w:t>-</w:t>
      </w:r>
      <w:r>
        <w:rPr>
          <w:rFonts w:hint="eastAsia" w:ascii="仿宋_GB2312" w:hAnsi="仿宋_GB2312" w:eastAsia="仿宋_GB2312"/>
          <w:color w:val="auto"/>
          <w:kern w:val="0"/>
          <w:sz w:val="32"/>
          <w:szCs w:val="24"/>
        </w:rPr>
        <w:t>8815905</w:t>
      </w:r>
    </w:p>
    <w:p>
      <w:pPr>
        <w:spacing w:beforeLines="0" w:afterLines="0"/>
        <w:jc w:val="left"/>
        <w:rPr>
          <w:rFonts w:hint="default" w:ascii="Times New Roman" w:hAnsi="Times New Roman" w:eastAsia="Times New Roman"/>
          <w:color w:val="auto"/>
          <w:kern w:val="0"/>
          <w:sz w:val="18"/>
          <w:szCs w:val="24"/>
          <w:lang w:val="zh-CN"/>
        </w:rPr>
      </w:pPr>
    </w:p>
    <w:p>
      <w:pPr>
        <w:spacing w:beforeLines="0" w:afterLines="0"/>
        <w:jc w:val="left"/>
        <w:rPr>
          <w:rFonts w:hint="eastAsia" w:ascii="仿宋_GB2312" w:hAnsi="仿宋_GB2312" w:eastAsia="仿宋_GB2312"/>
          <w:b/>
          <w:color w:val="auto"/>
          <w:kern w:val="0"/>
          <w:sz w:val="44"/>
          <w:szCs w:val="24"/>
          <w:lang w:val="en-US"/>
        </w:rPr>
      </w:pPr>
    </w:p>
    <w:p>
      <w:pPr>
        <w:spacing w:beforeLines="0" w:afterLines="0"/>
        <w:jc w:val="left"/>
        <w:rPr>
          <w:rFonts w:hint="default" w:ascii="Times New Roman" w:hAnsi="Times New Roman" w:eastAsia="Times New Roman"/>
          <w:b/>
          <w:color w:val="auto"/>
          <w:sz w:val="36"/>
          <w:szCs w:val="24"/>
          <w:lang w:val="en-US"/>
        </w:rPr>
      </w:pPr>
    </w:p>
    <w:p>
      <w:pPr>
        <w:rPr>
          <w:color w:val="auto"/>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swiss"/>
    <w:pitch w:val="variable"/>
    <w:sig w:usb0="80000287" w:usb1="2ACF3C50" w:usb2="00000016" w:usb3="00000000" w:csb0="0004001F" w:csb1="00000000"/>
  </w:font>
  <w:font w:name="汉仪旗黑-55简">
    <w:altName w:val="黑体"/>
    <w:panose1 w:val="00020600040101010101"/>
    <w:charset w:val="80"/>
    <w:family w:val="auto"/>
    <w:pitch w:val="default"/>
    <w:sig w:usb0="00000000" w:usb1="00000000" w:usb2="00000000" w:usb3="00000000" w:csb0="00000000" w:csb1="00000000"/>
  </w:font>
  <w:font w:name="汉仪旗黑-50简">
    <w:altName w:val="黑体"/>
    <w:panose1 w:val="00020600040101010101"/>
    <w:charset w:val="86"/>
    <w:family w:val="auto"/>
    <w:pitch w:val="default"/>
    <w:sig w:usb0="00000000" w:usb1="00000000" w:usb2="00000000" w:usb3="00000000" w:csb0="00000000" w:csb1="00000000"/>
  </w:font>
  <w:font w:name="汉仪旗黑-55简">
    <w:altName w:val="黑体"/>
    <w:panose1 w:val="00020600040101010101"/>
    <w:charset w:val="86"/>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C9C199"/>
    <w:multiLevelType w:val="singleLevel"/>
    <w:tmpl w:val="6FC9C19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RlMDFhNzQxNDAwYmI1MzZlMzIzZGNjMmE1OGVmYWEifQ=="/>
  </w:docVars>
  <w:rsids>
    <w:rsidRoot w:val="7EF15ADE"/>
    <w:rsid w:val="7EF15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jc w:val="both"/>
    </w:pPr>
    <w:rPr>
      <w:rFonts w:ascii="Times New Roman" w:hAnsi="Times New Roman" w:eastAsia="宋体" w:cs="Times New Roman"/>
      <w:kern w:val="2"/>
      <w:sz w:val="21"/>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view3D>
      <c:rotX val="30"/>
      <c:rotY val="0"/>
      <c:depthPercent val="100"/>
      <c:rAngAx val="0"/>
    </c:view3D>
    <c:plotArea>
      <c:layout/>
      <c:pie3DChart>
        <c:varyColors val="1"/>
        <c:ser>
          <c:idx val="0"/>
          <c:order val="0"/>
          <c:tx>
            <c:strRef>
              <c:f>Sheet1!$B$1</c:f>
              <c:strCache>
                <c:ptCount val="1"/>
                <c:pt idx="0">
                  <c:v>收入</c:v>
                </c:pt>
              </c:strCache>
            </c:strRef>
          </c:tx>
          <c:spPr>
            <a:scene3d>
              <a:camera prst="orthographicFront"/>
              <a:lightRig rig="threePt" dir="t"/>
            </a:scene3d>
            <a:sp3d contourW="25400"/>
          </c:spPr>
          <c:explosion val="0"/>
          <c:dPt>
            <c:idx val="0"/>
            <c:bubble3D val="0"/>
            <c:spPr>
              <a:solidFill>
                <a:schemeClr val="accent1"/>
              </a:solidFill>
              <a:ln w="25400">
                <a:solidFill>
                  <a:schemeClr val="lt1"/>
                </a:solidFill>
              </a:ln>
              <a:effectLst/>
              <a:scene3d>
                <a:camera prst="orthographicFront"/>
                <a:lightRig rig="threePt" dir="t"/>
              </a:scene3d>
              <a:sp3d contourW="25400"/>
            </c:spPr>
          </c:dPt>
          <c:dPt>
            <c:idx val="1"/>
            <c:bubble3D val="0"/>
            <c:spPr>
              <a:solidFill>
                <a:schemeClr val="accent2"/>
              </a:solidFill>
              <a:ln w="25400">
                <a:solidFill>
                  <a:schemeClr val="lt1"/>
                </a:solidFill>
              </a:ln>
              <a:effectLst/>
              <a:scene3d>
                <a:camera prst="orthographicFront"/>
                <a:lightRig rig="threePt" dir="t"/>
              </a:scene3d>
              <a:sp3d contourW="25400"/>
            </c:spPr>
          </c:dPt>
          <c:dLbls>
            <c:delete val="1"/>
          </c:dLbls>
          <c:cat>
            <c:strRef>
              <c:f>Sheet1!$A$2:$A$3</c:f>
              <c:strCache>
                <c:ptCount val="2"/>
                <c:pt idx="0">
                  <c:v>财政拨款收入</c:v>
                </c:pt>
                <c:pt idx="1">
                  <c:v>其他收入</c:v>
                </c:pt>
              </c:strCache>
            </c:strRef>
          </c:cat>
          <c:val>
            <c:numRef>
              <c:f>Sheet1!$B$2:$B$3</c:f>
              <c:numCache>
                <c:formatCode>General</c:formatCode>
                <c:ptCount val="2"/>
                <c:pt idx="0">
                  <c:v>420</c:v>
                </c:pt>
                <c:pt idx="1">
                  <c:v>1</c:v>
                </c:pt>
              </c:numCache>
            </c:numRef>
          </c:val>
        </c:ser>
        <c:dLbls>
          <c:showLegendKey val="0"/>
          <c:showVal val="0"/>
          <c:showCatName val="0"/>
          <c:showSerName val="0"/>
          <c:showPercent val="0"/>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基本支出</c:v>
                </c:pt>
              </c:strCache>
            </c:strRef>
          </c:cat>
          <c:val>
            <c:numRef>
              <c:f>Sheet1!$B$2</c:f>
              <c:numCache>
                <c:formatCode>General</c:formatCode>
                <c:ptCount val="1"/>
                <c:pt idx="0">
                  <c:v>8.2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2022-09-26T15:17:00Z</dcterms:created>
  <dc:creator>ψGlitter</dc:creator>
  <cp:lastModifiedBy>ψGlitter</cp:lastModifiedBy>
  <dcterms:modified xsi:type="dcterms:W3CDTF">2022-09-26T16:36:31Z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263A3F7A4DF34FD6B7C67B2767BF7BDA</vt:lpwstr>
  </property>
</Properties>
</file>