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r>
        <w:rPr>
          <w:rStyle w:val="6"/>
          <w:rFonts w:ascii="方正小标宋简体" w:hAnsi="宋体" w:eastAsia="方正小标宋简体"/>
          <w:sz w:val="44"/>
          <w:szCs w:val="44"/>
        </w:rPr>
        <w:t xml:space="preserve"> </w:t>
      </w: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tabs>
          <w:tab w:val="left" w:pos="6690"/>
        </w:tabs>
        <w:spacing w:line="560" w:lineRule="exact"/>
        <w:ind w:firstLine="660" w:firstLineChars="150"/>
        <w:jc w:val="left"/>
        <w:rPr>
          <w:rStyle w:val="6"/>
          <w:rFonts w:ascii="方正小标宋简体" w:hAnsi="宋体" w:eastAsia="方正小标宋简体"/>
          <w:sz w:val="44"/>
          <w:szCs w:val="44"/>
        </w:rPr>
      </w:pPr>
      <w:r>
        <w:rPr>
          <w:rStyle w:val="6"/>
          <w:rFonts w:ascii="方正小标宋简体" w:hAnsi="宋体" w:eastAsia="方正小标宋简体"/>
          <w:sz w:val="44"/>
          <w:szCs w:val="44"/>
        </w:rPr>
        <w:tab/>
      </w: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jc w:val="center"/>
        <w:rPr>
          <w:rFonts w:ascii="方正小标宋简体" w:hAnsi="宋体" w:eastAsia="方正小标宋简体"/>
          <w:sz w:val="44"/>
          <w:szCs w:val="44"/>
        </w:rPr>
      </w:pPr>
      <w:r>
        <w:rPr>
          <w:rStyle w:val="6"/>
          <w:rFonts w:ascii="方正小标宋简体" w:hAnsi="宋体" w:eastAsia="方正小标宋简体"/>
          <w:sz w:val="44"/>
          <w:szCs w:val="44"/>
        </w:rPr>
        <w:t>呼伦贝尔市</w:t>
      </w:r>
      <w:r>
        <w:rPr>
          <w:rStyle w:val="6"/>
          <w:rFonts w:hint="eastAsia" w:ascii="方正小标宋简体" w:hAnsi="宋体" w:eastAsia="方正小标宋简体"/>
          <w:sz w:val="44"/>
          <w:szCs w:val="44"/>
          <w:lang w:val="en-US" w:eastAsia="zh-CN"/>
        </w:rPr>
        <w:t>生态</w:t>
      </w:r>
      <w:r>
        <w:rPr>
          <w:rStyle w:val="6"/>
          <w:rFonts w:ascii="方正小标宋简体" w:hAnsi="宋体" w:eastAsia="方正小标宋简体"/>
          <w:sz w:val="44"/>
          <w:szCs w:val="44"/>
        </w:rPr>
        <w:t>环境局所属</w:t>
      </w:r>
      <w:r>
        <w:rPr>
          <w:rFonts w:hint="eastAsia" w:ascii="方正小标宋简体" w:hAnsi="宋体" w:eastAsia="方正小标宋简体"/>
          <w:sz w:val="44"/>
          <w:szCs w:val="44"/>
        </w:rPr>
        <w:t>呼伦贝尔市生态环境局鄂温克分局单位</w:t>
      </w:r>
    </w:p>
    <w:p>
      <w:pPr>
        <w:spacing w:line="56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2021年预算公开报告</w:t>
      </w:r>
    </w:p>
    <w:p>
      <w:pPr>
        <w:spacing w:line="560" w:lineRule="exact"/>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ind w:firstLine="660" w:firstLineChars="150"/>
        <w:jc w:val="center"/>
        <w:rPr>
          <w:rStyle w:val="6"/>
          <w:rFonts w:ascii="方正小标宋简体" w:hAnsi="宋体" w:eastAsia="方正小标宋简体"/>
          <w:sz w:val="44"/>
          <w:szCs w:val="44"/>
        </w:rPr>
      </w:pPr>
    </w:p>
    <w:p>
      <w:pPr>
        <w:spacing w:line="560" w:lineRule="exact"/>
        <w:jc w:val="center"/>
        <w:rPr>
          <w:rStyle w:val="6"/>
          <w:rFonts w:ascii="方正小标宋简体" w:hAnsi="宋体" w:eastAsia="方正小标宋简体"/>
          <w:sz w:val="32"/>
          <w:szCs w:val="32"/>
        </w:rPr>
      </w:pPr>
      <w:r>
        <w:rPr>
          <w:rStyle w:val="6"/>
          <w:rFonts w:ascii="方正小标宋简体" w:hAnsi="宋体" w:eastAsia="方正小标宋简体"/>
          <w:sz w:val="32"/>
          <w:szCs w:val="32"/>
        </w:rPr>
        <w:t>2021年3月12日</w:t>
      </w:r>
    </w:p>
    <w:p>
      <w:pPr>
        <w:snapToGrid w:val="0"/>
        <w:spacing w:line="560" w:lineRule="exact"/>
        <w:jc w:val="center"/>
        <w:rPr>
          <w:rStyle w:val="6"/>
          <w:rFonts w:ascii="方正小标宋简体" w:hAnsi="宋体" w:eastAsia="方正小标宋简体"/>
          <w:sz w:val="44"/>
          <w:szCs w:val="44"/>
        </w:rPr>
      </w:pPr>
      <w:r>
        <w:rPr>
          <w:sz w:val="20"/>
        </w:rPr>
        <w:br w:type="page"/>
      </w:r>
    </w:p>
    <w:p>
      <w:pPr>
        <w:snapToGrid w:val="0"/>
        <w:spacing w:line="560" w:lineRule="exact"/>
        <w:jc w:val="center"/>
        <w:rPr>
          <w:rStyle w:val="6"/>
          <w:rFonts w:ascii="黑体" w:hAnsi="黑体" w:eastAsia="黑体" w:cs="黑体"/>
          <w:bCs/>
          <w:sz w:val="36"/>
          <w:szCs w:val="36"/>
        </w:rPr>
      </w:pPr>
      <w:r>
        <w:rPr>
          <w:rStyle w:val="6"/>
          <w:rFonts w:ascii="黑体" w:hAnsi="黑体" w:eastAsia="黑体" w:cs="黑体"/>
          <w:bCs/>
          <w:sz w:val="36"/>
          <w:szCs w:val="36"/>
        </w:rPr>
        <w:t>目  录</w:t>
      </w:r>
    </w:p>
    <w:p>
      <w:pPr>
        <w:snapToGrid w:val="0"/>
        <w:spacing w:line="560" w:lineRule="exact"/>
        <w:ind w:firstLine="640" w:firstLineChars="200"/>
        <w:rPr>
          <w:rStyle w:val="6"/>
          <w:rFonts w:ascii="黑体" w:hAnsi="黑体" w:eastAsia="黑体" w:cs="黑体"/>
          <w:bCs/>
          <w:sz w:val="32"/>
          <w:szCs w:val="32"/>
        </w:rPr>
      </w:pPr>
      <w:r>
        <w:rPr>
          <w:rStyle w:val="6"/>
          <w:rFonts w:ascii="黑体" w:hAnsi="黑体" w:eastAsia="黑体" w:cs="黑体"/>
          <w:bCs/>
          <w:sz w:val="32"/>
          <w:szCs w:val="32"/>
        </w:rPr>
        <w:t>第一部分 部门所属单位概况</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一、单位主要职能、工作职责</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二、机构设置及预算单位构成情况</w:t>
      </w:r>
    </w:p>
    <w:p>
      <w:pPr>
        <w:snapToGrid w:val="0"/>
        <w:spacing w:line="560" w:lineRule="exact"/>
        <w:ind w:firstLine="640" w:firstLineChars="200"/>
        <w:rPr>
          <w:rStyle w:val="6"/>
          <w:rFonts w:ascii="黑体" w:hAnsi="黑体" w:eastAsia="黑体" w:cs="黑体"/>
          <w:bCs/>
          <w:sz w:val="32"/>
          <w:szCs w:val="32"/>
        </w:rPr>
      </w:pPr>
      <w:r>
        <w:rPr>
          <w:rStyle w:val="6"/>
          <w:rFonts w:ascii="黑体" w:hAnsi="黑体" w:eastAsia="黑体" w:cs="黑体"/>
          <w:bCs/>
          <w:sz w:val="32"/>
          <w:szCs w:val="32"/>
        </w:rPr>
        <w:t>第二部分 2021年预算安排情况说明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一、预算收支总体情况说明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 xml:space="preserve">二、一般公共预算财政拨款收支情况说明 </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三、政府性基金预算财政拨款支出情况说明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四、国有资本经营预算拨款支出预算情况说明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五、财政拨款“三公”经费预算情况说明</w:t>
      </w:r>
    </w:p>
    <w:p>
      <w:pPr>
        <w:snapToGrid w:val="0"/>
        <w:spacing w:line="560" w:lineRule="exact"/>
        <w:ind w:firstLine="640" w:firstLineChars="200"/>
        <w:rPr>
          <w:rStyle w:val="6"/>
          <w:rFonts w:ascii="黑体" w:hAnsi="黑体" w:eastAsia="黑体" w:cs="黑体"/>
          <w:bCs/>
          <w:sz w:val="32"/>
          <w:szCs w:val="32"/>
        </w:rPr>
      </w:pPr>
      <w:r>
        <w:rPr>
          <w:rStyle w:val="6"/>
          <w:rFonts w:ascii="黑体" w:hAnsi="黑体" w:eastAsia="黑体" w:cs="黑体"/>
          <w:bCs/>
          <w:sz w:val="32"/>
          <w:szCs w:val="32"/>
        </w:rPr>
        <w:t>第三部分 其他公开事项说明</w:t>
      </w:r>
    </w:p>
    <w:p>
      <w:pPr>
        <w:snapToGrid w:val="0"/>
        <w:spacing w:line="560" w:lineRule="exact"/>
        <w:ind w:left="800"/>
        <w:rPr>
          <w:rStyle w:val="6"/>
          <w:rFonts w:ascii="仿宋_GB2312" w:hAnsi="仿宋_GB2312" w:eastAsia="仿宋_GB2312"/>
          <w:sz w:val="32"/>
          <w:szCs w:val="32"/>
        </w:rPr>
      </w:pPr>
      <w:r>
        <w:rPr>
          <w:rStyle w:val="6"/>
          <w:rFonts w:ascii="仿宋_GB2312" w:hAnsi="仿宋_GB2312" w:eastAsia="仿宋_GB2312"/>
          <w:sz w:val="32"/>
          <w:szCs w:val="32"/>
        </w:rPr>
        <w:t>一、机关运行经费安排情况说明</w:t>
      </w:r>
    </w:p>
    <w:p>
      <w:pPr>
        <w:snapToGrid w:val="0"/>
        <w:spacing w:line="560" w:lineRule="exact"/>
        <w:ind w:left="800"/>
        <w:rPr>
          <w:rStyle w:val="6"/>
          <w:rFonts w:ascii="仿宋_GB2312" w:hAnsi="仿宋_GB2312" w:eastAsia="仿宋_GB2312"/>
          <w:sz w:val="32"/>
          <w:szCs w:val="32"/>
        </w:rPr>
      </w:pPr>
      <w:r>
        <w:rPr>
          <w:rStyle w:val="6"/>
          <w:rFonts w:ascii="仿宋_GB2312" w:hAnsi="仿宋_GB2312" w:eastAsia="仿宋_GB2312"/>
          <w:sz w:val="32"/>
          <w:szCs w:val="32"/>
        </w:rPr>
        <w:t>二、事业运转经费安排情况说明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三、政府采购预算情况说明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四、国有资产占有使用情况说明</w:t>
      </w:r>
    </w:p>
    <w:p>
      <w:pPr>
        <w:snapToGrid w:val="0"/>
        <w:spacing w:line="560" w:lineRule="exact"/>
        <w:ind w:firstLine="800" w:firstLineChars="250"/>
        <w:rPr>
          <w:rStyle w:val="6"/>
          <w:rFonts w:ascii="仿宋_GB2312" w:hAnsi="仿宋_GB2312" w:eastAsia="仿宋_GB2312"/>
          <w:sz w:val="32"/>
          <w:szCs w:val="32"/>
        </w:rPr>
      </w:pPr>
      <w:r>
        <w:rPr>
          <w:rStyle w:val="6"/>
          <w:rFonts w:ascii="仿宋_GB2312" w:hAnsi="仿宋_GB2312" w:eastAsia="仿宋_GB2312"/>
          <w:sz w:val="32"/>
          <w:szCs w:val="32"/>
        </w:rPr>
        <w:t>五、项目支出绩效目标情况说明</w:t>
      </w:r>
    </w:p>
    <w:p>
      <w:pPr>
        <w:snapToGrid w:val="0"/>
        <w:spacing w:line="560" w:lineRule="exact"/>
        <w:ind w:firstLine="640" w:firstLineChars="200"/>
        <w:rPr>
          <w:rStyle w:val="6"/>
          <w:rFonts w:ascii="黑体" w:hAnsi="黑体" w:eastAsia="黑体" w:cs="黑体"/>
          <w:bCs/>
          <w:sz w:val="32"/>
          <w:szCs w:val="32"/>
        </w:rPr>
      </w:pPr>
      <w:r>
        <w:rPr>
          <w:rStyle w:val="6"/>
          <w:rFonts w:ascii="黑体" w:hAnsi="黑体" w:eastAsia="黑体" w:cs="黑体"/>
          <w:bCs/>
          <w:sz w:val="32"/>
          <w:szCs w:val="32"/>
        </w:rPr>
        <w:t>第四部分 名词解释</w:t>
      </w:r>
    </w:p>
    <w:p>
      <w:pPr>
        <w:snapToGrid w:val="0"/>
        <w:spacing w:line="560" w:lineRule="exact"/>
        <w:ind w:firstLine="640" w:firstLineChars="200"/>
        <w:rPr>
          <w:rStyle w:val="6"/>
          <w:rFonts w:ascii="黑体" w:hAnsi="黑体" w:eastAsia="黑体" w:cs="黑体"/>
          <w:bCs/>
          <w:sz w:val="32"/>
          <w:szCs w:val="32"/>
        </w:rPr>
      </w:pPr>
      <w:r>
        <w:rPr>
          <w:rStyle w:val="6"/>
          <w:rFonts w:ascii="黑体" w:hAnsi="黑体" w:eastAsia="黑体" w:cs="黑体"/>
          <w:bCs/>
          <w:sz w:val="32"/>
          <w:szCs w:val="32"/>
        </w:rPr>
        <w:t>第五部分 预算公开联系方式及信息反馈渠道</w:t>
      </w:r>
    </w:p>
    <w:p>
      <w:pPr>
        <w:snapToGrid w:val="0"/>
        <w:spacing w:line="560" w:lineRule="exact"/>
        <w:ind w:firstLine="627" w:firstLineChars="196"/>
        <w:rPr>
          <w:rStyle w:val="6"/>
          <w:rFonts w:ascii="黑体" w:hAnsi="黑体" w:eastAsia="黑体" w:cs="黑体"/>
          <w:bCs/>
          <w:sz w:val="32"/>
          <w:szCs w:val="32"/>
        </w:rPr>
      </w:pPr>
      <w:r>
        <w:rPr>
          <w:rStyle w:val="6"/>
          <w:rFonts w:ascii="黑体" w:hAnsi="黑体" w:eastAsia="黑体" w:cs="黑体"/>
          <w:bCs/>
          <w:sz w:val="32"/>
          <w:szCs w:val="32"/>
        </w:rPr>
        <w:t>第六部分 2021年部门预算公开表</w:t>
      </w:r>
    </w:p>
    <w:p>
      <w:pPr>
        <w:snapToGrid w:val="0"/>
        <w:spacing w:line="560" w:lineRule="exact"/>
        <w:ind w:firstLine="948" w:firstLineChars="295"/>
        <w:rPr>
          <w:rStyle w:val="6"/>
          <w:rFonts w:ascii="楷体" w:hAnsi="楷体" w:eastAsia="楷体"/>
          <w:b/>
          <w:sz w:val="32"/>
          <w:szCs w:val="32"/>
        </w:rPr>
      </w:pPr>
      <w:r>
        <w:rPr>
          <w:rStyle w:val="6"/>
          <w:rFonts w:ascii="楷体" w:hAnsi="楷体" w:eastAsia="楷体"/>
          <w:b/>
          <w:sz w:val="32"/>
          <w:szCs w:val="32"/>
        </w:rPr>
        <w:t>一、部门预算公开报表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1.收支预算总表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2.收入预算总表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3.支出预算总表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4.财政拨款收支预算总表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5.一般公共预算支出预算表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6.财政拨款基本支出预算表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7.政府性基金预算收支表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8.财政拨款“三公经费”预算表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9.政府采购预算表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10.国有资产占用使用情况表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11．机关运行经费预算表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12．事业运转经费预算表</w:t>
      </w:r>
    </w:p>
    <w:p>
      <w:pPr>
        <w:snapToGrid w:val="0"/>
        <w:spacing w:line="560" w:lineRule="exact"/>
        <w:ind w:firstLine="1104" w:firstLineChars="345"/>
        <w:rPr>
          <w:rStyle w:val="6"/>
          <w:rFonts w:ascii="仿宋_GB2312" w:hAnsi="仿宋_GB2312" w:eastAsia="仿宋_GB2312"/>
          <w:sz w:val="32"/>
          <w:szCs w:val="32"/>
        </w:rPr>
      </w:pPr>
      <w:r>
        <w:rPr>
          <w:rStyle w:val="6"/>
          <w:rFonts w:ascii="仿宋_GB2312" w:hAnsi="仿宋_GB2312" w:eastAsia="仿宋_GB2312"/>
          <w:sz w:val="32"/>
          <w:szCs w:val="32"/>
        </w:rPr>
        <w:t>13.</w:t>
      </w:r>
      <w:r>
        <w:rPr>
          <w:rStyle w:val="6"/>
        </w:rPr>
        <w:t xml:space="preserve"> </w:t>
      </w:r>
      <w:r>
        <w:rPr>
          <w:rStyle w:val="6"/>
          <w:rFonts w:ascii="仿宋_GB2312" w:hAnsi="仿宋_GB2312" w:eastAsia="仿宋_GB2312"/>
          <w:sz w:val="32"/>
          <w:szCs w:val="32"/>
        </w:rPr>
        <w:t>国有资本经营预算支出表</w:t>
      </w:r>
    </w:p>
    <w:p>
      <w:pPr>
        <w:snapToGrid w:val="0"/>
        <w:spacing w:line="560" w:lineRule="exact"/>
        <w:ind w:firstLine="948" w:firstLineChars="295"/>
        <w:rPr>
          <w:rStyle w:val="6"/>
          <w:rFonts w:ascii="楷体" w:hAnsi="楷体" w:eastAsia="楷体"/>
          <w:b/>
          <w:sz w:val="32"/>
          <w:szCs w:val="32"/>
        </w:rPr>
      </w:pPr>
      <w:r>
        <w:rPr>
          <w:rStyle w:val="6"/>
          <w:rFonts w:ascii="楷体" w:hAnsi="楷体" w:eastAsia="楷体"/>
          <w:b/>
          <w:sz w:val="32"/>
          <w:szCs w:val="32"/>
        </w:rPr>
        <w:t>二、项目预算绩效目标申报表</w:t>
      </w:r>
    </w:p>
    <w:p>
      <w:pPr>
        <w:snapToGrid w:val="0"/>
        <w:spacing w:line="560" w:lineRule="exact"/>
        <w:ind w:firstLine="1104" w:firstLineChars="345"/>
        <w:rPr>
          <w:rStyle w:val="6"/>
          <w:rFonts w:ascii="楷体_GB2312" w:hAnsi="黑体" w:eastAsia="楷体_GB2312"/>
          <w:sz w:val="32"/>
          <w:szCs w:val="32"/>
        </w:rPr>
      </w:pPr>
    </w:p>
    <w:p>
      <w:pPr>
        <w:snapToGrid w:val="0"/>
        <w:spacing w:line="560" w:lineRule="exact"/>
        <w:ind w:firstLine="1104" w:firstLineChars="345"/>
        <w:rPr>
          <w:rStyle w:val="6"/>
          <w:rFonts w:ascii="楷体_GB2312" w:hAnsi="黑体" w:eastAsia="楷体_GB2312"/>
          <w:sz w:val="32"/>
          <w:szCs w:val="32"/>
        </w:rPr>
      </w:pPr>
    </w:p>
    <w:p>
      <w:pPr>
        <w:snapToGrid w:val="0"/>
        <w:spacing w:line="560" w:lineRule="exact"/>
        <w:ind w:firstLine="1104" w:firstLineChars="345"/>
        <w:rPr>
          <w:rStyle w:val="6"/>
          <w:rFonts w:ascii="楷体_GB2312" w:hAnsi="黑体" w:eastAsia="楷体_GB2312"/>
          <w:sz w:val="32"/>
          <w:szCs w:val="32"/>
        </w:rPr>
      </w:pPr>
    </w:p>
    <w:p>
      <w:pPr>
        <w:snapToGrid w:val="0"/>
        <w:spacing w:line="560" w:lineRule="exact"/>
        <w:ind w:firstLine="1104" w:firstLineChars="345"/>
        <w:rPr>
          <w:rStyle w:val="6"/>
          <w:rFonts w:ascii="楷体_GB2312" w:hAnsi="黑体" w:eastAsia="楷体_GB2312"/>
          <w:sz w:val="32"/>
          <w:szCs w:val="32"/>
        </w:rPr>
      </w:pPr>
    </w:p>
    <w:p>
      <w:pPr>
        <w:spacing w:line="560" w:lineRule="exact"/>
        <w:jc w:val="center"/>
        <w:rPr>
          <w:rStyle w:val="6"/>
          <w:rFonts w:ascii="方正小标宋简体" w:hAnsi="宋体" w:eastAsia="方正小标宋简体"/>
          <w:sz w:val="44"/>
          <w:szCs w:val="44"/>
        </w:rPr>
      </w:pPr>
      <w:r>
        <w:rPr>
          <w:sz w:val="20"/>
        </w:rPr>
        <w:br w:type="page"/>
      </w:r>
    </w:p>
    <w:p>
      <w:pPr>
        <w:spacing w:line="560" w:lineRule="exact"/>
        <w:jc w:val="center"/>
        <w:rPr>
          <w:rFonts w:ascii="方正小标宋简体" w:hAnsi="宋体" w:eastAsia="方正小标宋简体"/>
          <w:sz w:val="44"/>
          <w:szCs w:val="44"/>
        </w:rPr>
      </w:pPr>
      <w:r>
        <w:rPr>
          <w:rStyle w:val="6"/>
          <w:rFonts w:ascii="方正小标宋简体" w:hAnsi="宋体" w:eastAsia="方正小标宋简体"/>
          <w:sz w:val="44"/>
          <w:szCs w:val="44"/>
        </w:rPr>
        <w:t>呼伦贝尔市环境保护局所属</w:t>
      </w:r>
      <w:r>
        <w:rPr>
          <w:rFonts w:hint="eastAsia" w:ascii="方正小标宋简体" w:hAnsi="宋体" w:eastAsia="方正小标宋简体"/>
          <w:sz w:val="44"/>
          <w:szCs w:val="44"/>
        </w:rPr>
        <w:t>呼伦贝尔市生态环境局鄂温克旗分局单位</w:t>
      </w:r>
    </w:p>
    <w:p>
      <w:pPr>
        <w:spacing w:line="56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2021年预算公开报告</w:t>
      </w:r>
    </w:p>
    <w:p>
      <w:pPr>
        <w:spacing w:line="560" w:lineRule="exact"/>
        <w:jc w:val="center"/>
        <w:rPr>
          <w:rStyle w:val="6"/>
          <w:rFonts w:ascii="仿宋_GB2312" w:hAnsi="宋体" w:eastAsia="仿宋_GB2312"/>
          <w:sz w:val="32"/>
          <w:szCs w:val="32"/>
        </w:rPr>
      </w:pPr>
    </w:p>
    <w:p>
      <w:pPr>
        <w:spacing w:line="560" w:lineRule="exact"/>
        <w:ind w:firstLine="627" w:firstLineChars="196"/>
        <w:rPr>
          <w:rStyle w:val="6"/>
          <w:rFonts w:ascii="仿宋_GB2312" w:hAnsi="宋体" w:eastAsia="仿宋_GB2312"/>
          <w:sz w:val="32"/>
          <w:szCs w:val="32"/>
        </w:rPr>
      </w:pPr>
      <w:r>
        <w:rPr>
          <w:rStyle w:val="6"/>
          <w:rFonts w:ascii="仿宋_GB2312" w:hAnsi="宋体" w:eastAsia="仿宋_GB2312"/>
          <w:sz w:val="32"/>
          <w:szCs w:val="32"/>
        </w:rPr>
        <w:t>根据《呼伦贝尔市人民政府办公厅关于印发〈呼伦贝尔市本级预决算公开方案〉的通知》（呼政办发</w:t>
      </w:r>
      <w:r>
        <w:rPr>
          <w:rStyle w:val="6"/>
          <w:rFonts w:ascii="仿宋_GB2312" w:hAnsi="仿宋_GB2312" w:eastAsia="仿宋_GB2312"/>
          <w:sz w:val="32"/>
          <w:szCs w:val="32"/>
        </w:rPr>
        <w:t>〔2016〕</w:t>
      </w:r>
      <w:r>
        <w:rPr>
          <w:rStyle w:val="6"/>
          <w:rFonts w:ascii="仿宋_GB2312" w:hAnsi="宋体" w:eastAsia="仿宋_GB2312"/>
          <w:sz w:val="32"/>
          <w:szCs w:val="32"/>
        </w:rPr>
        <w:t>54号）、</w:t>
      </w:r>
      <w:r>
        <w:rPr>
          <w:rStyle w:val="6"/>
          <w:rFonts w:ascii="仿宋_GB2312" w:eastAsia="仿宋_GB2312"/>
          <w:sz w:val="32"/>
          <w:szCs w:val="32"/>
        </w:rPr>
        <w:t>《呼伦贝尔市关于进一步推进预算公开工作的实施方案》（呼政办字</w:t>
      </w:r>
      <w:r>
        <w:rPr>
          <w:rStyle w:val="6"/>
          <w:rFonts w:ascii="仿宋_GB2312" w:hAnsi="仿宋_GB2312" w:eastAsia="仿宋_GB2312"/>
          <w:sz w:val="32"/>
          <w:szCs w:val="32"/>
        </w:rPr>
        <w:t>〔2016〕</w:t>
      </w:r>
      <w:r>
        <w:rPr>
          <w:rStyle w:val="6"/>
          <w:rFonts w:ascii="仿宋_GB2312" w:eastAsia="仿宋_GB2312"/>
          <w:sz w:val="32"/>
          <w:szCs w:val="32"/>
        </w:rPr>
        <w:t>126号）</w:t>
      </w:r>
      <w:r>
        <w:rPr>
          <w:rStyle w:val="6"/>
          <w:sz w:val="32"/>
          <w:szCs w:val="32"/>
        </w:rPr>
        <w:t>、</w:t>
      </w:r>
      <w:r>
        <w:rPr>
          <w:rStyle w:val="6"/>
          <w:rFonts w:ascii="仿宋_GB2312" w:hAnsi="宋体" w:eastAsia="仿宋_GB2312"/>
          <w:sz w:val="32"/>
          <w:szCs w:val="32"/>
        </w:rPr>
        <w:t>《呼伦贝尔市财政局转发内蒙古自治区财政厅〈地方预决算公开操作规程〉的通知》（呼财预</w:t>
      </w:r>
      <w:r>
        <w:rPr>
          <w:rStyle w:val="6"/>
          <w:rFonts w:ascii="仿宋_GB2312" w:hAnsi="仿宋_GB2312" w:eastAsia="仿宋_GB2312"/>
          <w:sz w:val="32"/>
          <w:szCs w:val="32"/>
        </w:rPr>
        <w:t>〔2016〕</w:t>
      </w:r>
      <w:r>
        <w:rPr>
          <w:rStyle w:val="6"/>
          <w:rFonts w:ascii="仿宋_GB2312" w:hAnsi="宋体" w:eastAsia="仿宋_GB2312"/>
          <w:sz w:val="32"/>
          <w:szCs w:val="32"/>
        </w:rPr>
        <w:t>1255号）文件要求，现将经市四届人大五次会议审议批准的呼伦贝尔市鄂温克旗环境保护分局2021年预算情况说明如下：</w:t>
      </w:r>
    </w:p>
    <w:p>
      <w:pPr>
        <w:spacing w:line="560" w:lineRule="exact"/>
        <w:ind w:firstLine="2505" w:firstLineChars="696"/>
        <w:rPr>
          <w:rStyle w:val="6"/>
          <w:rFonts w:ascii="黑体" w:hAnsi="黑体" w:eastAsia="黑体"/>
          <w:sz w:val="36"/>
          <w:szCs w:val="36"/>
        </w:rPr>
      </w:pPr>
      <w:r>
        <w:rPr>
          <w:rStyle w:val="6"/>
          <w:rFonts w:ascii="黑体" w:hAnsi="黑体" w:eastAsia="黑体"/>
          <w:sz w:val="36"/>
          <w:szCs w:val="36"/>
        </w:rPr>
        <w:t>第一部分  部门所属单位概况</w:t>
      </w:r>
    </w:p>
    <w:p>
      <w:pPr>
        <w:spacing w:line="560" w:lineRule="exact"/>
        <w:ind w:firstLine="2505" w:firstLineChars="696"/>
        <w:rPr>
          <w:rStyle w:val="6"/>
          <w:rFonts w:ascii="黑体" w:hAnsi="黑体" w:eastAsia="黑体"/>
          <w:sz w:val="36"/>
          <w:szCs w:val="36"/>
        </w:rPr>
      </w:pPr>
    </w:p>
    <w:p>
      <w:pPr>
        <w:spacing w:line="560" w:lineRule="exact"/>
        <w:ind w:firstLine="627" w:firstLineChars="196"/>
        <w:rPr>
          <w:rStyle w:val="6"/>
          <w:rFonts w:ascii="黑体" w:hAnsi="宋体" w:eastAsia="黑体" w:cs="Times New Roman"/>
          <w:bCs/>
          <w:sz w:val="32"/>
          <w:szCs w:val="32"/>
        </w:rPr>
      </w:pPr>
      <w:r>
        <w:rPr>
          <w:rStyle w:val="6"/>
          <w:rFonts w:ascii="黑体" w:hAnsi="宋体" w:eastAsia="黑体" w:cs="Times New Roman"/>
          <w:bCs/>
          <w:sz w:val="32"/>
          <w:szCs w:val="32"/>
        </w:rPr>
        <w:t>一、单位主要职能、职责</w:t>
      </w:r>
    </w:p>
    <w:p>
      <w:pPr>
        <w:spacing w:line="59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1.</w:t>
      </w:r>
      <w:r>
        <w:rPr>
          <w:rStyle w:val="6"/>
          <w:rFonts w:ascii="仿宋_GB2312" w:hAnsi="仿宋_GB2312" w:eastAsia="仿宋_GB2312"/>
          <w:sz w:val="32"/>
          <w:szCs w:val="32"/>
        </w:rPr>
        <w:t>贯彻执行国家、自治区、呼伦贝尔市和鄂温克旗关于环境保护的方针、政策、法律、法规和基本制度。拟定鄂温克旗关于环境保护的具体办法、措施并监督实施；参与拟订鄂温克旗与环境保护有关的法规和重大经济政策、经济社会发展中长期规划、相关专项规划以及主体功能区划。</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2.</w:t>
      </w:r>
      <w:r>
        <w:rPr>
          <w:rStyle w:val="6"/>
          <w:rFonts w:ascii="仿宋_GB2312" w:hAnsi="仿宋_GB2312" w:eastAsia="仿宋_GB2312"/>
          <w:sz w:val="32"/>
          <w:szCs w:val="32"/>
        </w:rPr>
        <w:t>负责重大环境问题的统筹协调和监督管理。牵头协调重大环境污染事故和生态破坏事件的调查处理，指导协调各乡镇苏木处理突发环境事件的预警和应急工作；监督落实重点流域和区域的污染防治工作；负责环境监察和环保行政稽查工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3.</w:t>
      </w:r>
      <w:r>
        <w:rPr>
          <w:rStyle w:val="6"/>
          <w:rFonts w:ascii="仿宋_GB2312" w:hAnsi="仿宋_GB2312" w:eastAsia="仿宋_GB2312"/>
          <w:sz w:val="32"/>
          <w:szCs w:val="32"/>
        </w:rPr>
        <w:t>承担落实减排目标的责任。制订主要污染物排放总量控制和排污许可证制度并组织实施；督查、督办、核查各乡镇苏木主要污染物减排任务的完成情况，组织实施环境保护目标责任制和主要污染物减排考核并公布考核结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4.</w:t>
      </w:r>
      <w:r>
        <w:rPr>
          <w:rStyle w:val="6"/>
          <w:rFonts w:ascii="仿宋_GB2312" w:hAnsi="仿宋_GB2312" w:eastAsia="仿宋_GB2312"/>
          <w:sz w:val="32"/>
          <w:szCs w:val="32"/>
        </w:rPr>
        <w:t>负责提出环境保护领域固定资产投资的规模和方向、财政性资金安排意见。按照旗人民政府规定的权限，审批、核准鄂温克旗规划内和年度计划规模内固定资产投资项目，并配合有关部门做好组织实施和监督工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5.</w:t>
      </w:r>
      <w:r>
        <w:rPr>
          <w:rStyle w:val="6"/>
          <w:rFonts w:ascii="仿宋_GB2312" w:hAnsi="仿宋_GB2312" w:eastAsia="仿宋_GB2312"/>
          <w:sz w:val="32"/>
          <w:szCs w:val="32"/>
        </w:rPr>
        <w:t>承担从源头上预防、控制环境污染和环境破坏的责任；受旗人民政府委托，负责重大经济和技术政策、发展规划以及重大经济开发计划的环境影响评价；对涉及环境保护的法规草案提出有关环境影响方面的意见；组织审查各类规划的环境影响评价文件，审批区域开发和建设项目的环境影响评价文件。</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6.</w:t>
      </w:r>
      <w:r>
        <w:rPr>
          <w:rStyle w:val="6"/>
          <w:rFonts w:ascii="仿宋_GB2312" w:hAnsi="仿宋_GB2312" w:eastAsia="仿宋_GB2312"/>
          <w:sz w:val="32"/>
          <w:szCs w:val="32"/>
        </w:rPr>
        <w:t>负责环境污染防治的监督管理。拟订各类环境要素污染防治的制度并组织实施；牵头组织有关部门监督管理饮用水水源地环境保护工作；组织开展乡镇苏木环境综合整治工作。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7.</w:t>
      </w:r>
      <w:r>
        <w:rPr>
          <w:rStyle w:val="6"/>
          <w:rFonts w:ascii="仿宋_GB2312" w:hAnsi="仿宋_GB2312" w:eastAsia="仿宋_GB2312"/>
          <w:sz w:val="32"/>
          <w:szCs w:val="32"/>
        </w:rPr>
        <w:t>指导、协调、监督生态保护工作。组织评估生态环境质量状况；监督自然资源开发利用、生态环境建设、生态破坏恢复和生物技术环境安全；指导、协调、监督牧区环境保护工作和各种类型的自然保护区、风景名胜区、森林公园的环境保护工作；协调和监督野生动植物保护、湿地环境保护、荒漠化防治工作；牵头负责生物物种（含遗传资源）保护工作，组织协调生物多样性保护。</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8.</w:t>
      </w:r>
      <w:r>
        <w:rPr>
          <w:rStyle w:val="6"/>
          <w:rFonts w:ascii="仿宋_GB2312" w:hAnsi="仿宋_GB2312" w:eastAsia="仿宋_GB2312"/>
          <w:sz w:val="32"/>
          <w:szCs w:val="32"/>
        </w:rPr>
        <w:t>负责核安全和辐射安全的监督管理。拟订有关政策、规划、标准并组织实施；负责核事故、辐射环境事故应急处理工作；监督管理核设施安全、辐射污染防治工作。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9.</w:t>
      </w:r>
      <w:r>
        <w:rPr>
          <w:rStyle w:val="6"/>
          <w:rFonts w:ascii="仿宋_GB2312" w:hAnsi="仿宋_GB2312" w:eastAsia="仿宋_GB2312"/>
          <w:sz w:val="32"/>
          <w:szCs w:val="32"/>
        </w:rPr>
        <w:t>负责环境统计、环境监测、环境质量分析预测和信息发布。制定环境统计、监测和信息发布的制度并组织实施；组织建设和管理环境监测网和环境信息网，组织环境质量状况调查评估。</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10.</w:t>
      </w:r>
      <w:r>
        <w:rPr>
          <w:rStyle w:val="6"/>
          <w:rFonts w:ascii="仿宋_GB2312" w:hAnsi="仿宋_GB2312" w:eastAsia="仿宋_GB2312"/>
          <w:sz w:val="32"/>
          <w:szCs w:val="32"/>
        </w:rPr>
        <w:t>负责环境保护科技工作。组织环境保护重大科学研究和技术工程示范；负责环境保护产业发展，参与指导、推动循环经济和清洁生产工作。</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11.</w:t>
      </w:r>
      <w:r>
        <w:rPr>
          <w:rStyle w:val="6"/>
          <w:rFonts w:ascii="仿宋_GB2312" w:hAnsi="仿宋_GB2312" w:eastAsia="仿宋_GB2312"/>
          <w:sz w:val="32"/>
          <w:szCs w:val="32"/>
        </w:rPr>
        <w:t>组织、指导、协调环境保护宣传教育工作。拟订并组织实施环境保护宣传教育规划、计划，推动公众和社会组织参与环境保护。</w:t>
      </w:r>
    </w:p>
    <w:p>
      <w:pPr>
        <w:spacing w:line="568" w:lineRule="atLeast"/>
        <w:ind w:firstLine="639"/>
        <w:rPr>
          <w:rStyle w:val="6"/>
          <w:rFonts w:ascii="仿宋_GB2312" w:hAnsi="仿宋_GB2312" w:eastAsia="仿宋_GB2312"/>
          <w:sz w:val="32"/>
          <w:szCs w:val="32"/>
        </w:rPr>
      </w:pPr>
      <w:r>
        <w:rPr>
          <w:rStyle w:val="6"/>
          <w:rFonts w:hint="eastAsia" w:ascii="仿宋_GB2312" w:hAnsi="仿宋_GB2312" w:eastAsia="仿宋_GB2312"/>
          <w:sz w:val="32"/>
          <w:szCs w:val="32"/>
        </w:rPr>
        <w:t>12.</w:t>
      </w:r>
      <w:r>
        <w:rPr>
          <w:rStyle w:val="6"/>
          <w:rFonts w:ascii="仿宋_GB2312" w:hAnsi="仿宋_GB2312" w:eastAsia="仿宋_GB2312"/>
          <w:sz w:val="32"/>
          <w:szCs w:val="32"/>
        </w:rPr>
        <w:t>承办</w:t>
      </w:r>
      <w:r>
        <w:rPr>
          <w:rStyle w:val="6"/>
          <w:rFonts w:hint="eastAsia" w:ascii="仿宋_GB2312" w:hAnsi="仿宋_GB2312" w:eastAsia="仿宋_GB2312"/>
          <w:sz w:val="32"/>
          <w:szCs w:val="32"/>
        </w:rPr>
        <w:t>鄂温克自治旗</w:t>
      </w:r>
      <w:r>
        <w:rPr>
          <w:rStyle w:val="6"/>
          <w:rFonts w:ascii="仿宋_GB2312" w:hAnsi="仿宋_GB2312" w:eastAsia="仿宋_GB2312"/>
          <w:sz w:val="32"/>
          <w:szCs w:val="32"/>
        </w:rPr>
        <w:t>人民</w:t>
      </w:r>
      <w:r>
        <w:rPr>
          <w:rStyle w:val="6"/>
          <w:rFonts w:hint="eastAsia" w:ascii="仿宋_GB2312" w:hAnsi="仿宋_GB2312" w:eastAsia="仿宋_GB2312"/>
          <w:sz w:val="32"/>
          <w:szCs w:val="32"/>
        </w:rPr>
        <w:t>政府</w:t>
      </w:r>
      <w:r>
        <w:rPr>
          <w:rStyle w:val="6"/>
          <w:rFonts w:ascii="仿宋_GB2312" w:hAnsi="仿宋_GB2312" w:eastAsia="仿宋_GB2312"/>
          <w:sz w:val="32"/>
          <w:szCs w:val="32"/>
        </w:rPr>
        <w:t>和呼伦贝尔市</w:t>
      </w:r>
      <w:r>
        <w:rPr>
          <w:rStyle w:val="6"/>
          <w:rFonts w:hint="eastAsia" w:ascii="仿宋_GB2312" w:hAnsi="仿宋_GB2312" w:eastAsia="仿宋_GB2312"/>
          <w:sz w:val="32"/>
          <w:szCs w:val="32"/>
        </w:rPr>
        <w:t xml:space="preserve">生态环境局 </w:t>
      </w:r>
      <w:r>
        <w:rPr>
          <w:rStyle w:val="6"/>
          <w:rFonts w:ascii="仿宋_GB2312" w:hAnsi="仿宋_GB2312" w:eastAsia="仿宋_GB2312"/>
          <w:sz w:val="32"/>
          <w:szCs w:val="32"/>
        </w:rPr>
        <w:t>交办的其他事项。</w:t>
      </w:r>
    </w:p>
    <w:p>
      <w:pPr>
        <w:spacing w:line="560" w:lineRule="exact"/>
        <w:ind w:firstLine="627" w:firstLineChars="196"/>
        <w:rPr>
          <w:rStyle w:val="6"/>
          <w:rFonts w:ascii="黑体" w:hAnsi="黑体" w:eastAsia="黑体"/>
          <w:b/>
          <w:sz w:val="32"/>
          <w:szCs w:val="32"/>
        </w:rPr>
      </w:pPr>
      <w:r>
        <w:rPr>
          <w:rStyle w:val="6"/>
          <w:rFonts w:ascii="黑体" w:hAnsi="宋体" w:eastAsia="黑体" w:cs="Times New Roman"/>
          <w:bCs/>
          <w:sz w:val="32"/>
          <w:szCs w:val="32"/>
        </w:rPr>
        <w:t>二、</w:t>
      </w:r>
      <w:r>
        <w:rPr>
          <w:rStyle w:val="6"/>
          <w:rFonts w:ascii="黑体" w:hAnsi="黑体" w:eastAsia="黑体" w:cs="Times New Roman"/>
          <w:bCs/>
          <w:sz w:val="32"/>
          <w:szCs w:val="32"/>
        </w:rPr>
        <w:t>机构设置及预算单位构成情况</w:t>
      </w:r>
    </w:p>
    <w:p>
      <w:pPr>
        <w:spacing w:line="560" w:lineRule="exact"/>
        <w:ind w:firstLine="627" w:firstLineChars="196"/>
        <w:rPr>
          <w:rStyle w:val="6"/>
          <w:rFonts w:ascii="仿宋_GB2312" w:hAnsi="宋体" w:eastAsia="仿宋_GB2312"/>
          <w:sz w:val="32"/>
          <w:szCs w:val="32"/>
          <w:highlight w:val="none"/>
        </w:rPr>
      </w:pPr>
      <w:r>
        <w:rPr>
          <w:rStyle w:val="6"/>
          <w:rFonts w:ascii="仿宋_GB2312" w:hAnsi="宋体" w:eastAsia="仿宋_GB2312"/>
          <w:sz w:val="32"/>
          <w:szCs w:val="32"/>
          <w:highlight w:val="none"/>
        </w:rPr>
        <w:t>1.从预算单位构成看，2021年呼伦贝尔市</w:t>
      </w:r>
      <w:r>
        <w:rPr>
          <w:rStyle w:val="6"/>
          <w:rFonts w:hint="eastAsia" w:ascii="仿宋_GB2312" w:hAnsi="宋体" w:eastAsia="仿宋_GB2312"/>
          <w:sz w:val="32"/>
          <w:szCs w:val="32"/>
          <w:highlight w:val="none"/>
        </w:rPr>
        <w:t>生态环境</w:t>
      </w:r>
      <w:r>
        <w:rPr>
          <w:rStyle w:val="6"/>
          <w:rFonts w:ascii="仿宋_GB2312" w:hAnsi="宋体" w:eastAsia="仿宋_GB2312"/>
          <w:sz w:val="32"/>
          <w:szCs w:val="32"/>
          <w:highlight w:val="none"/>
        </w:rPr>
        <w:t>局所属</w:t>
      </w:r>
      <w:r>
        <w:rPr>
          <w:rStyle w:val="6"/>
          <w:rFonts w:hint="eastAsia" w:ascii="仿宋_GB2312" w:hAnsi="宋体" w:eastAsia="仿宋_GB2312"/>
          <w:sz w:val="32"/>
          <w:szCs w:val="32"/>
          <w:highlight w:val="none"/>
          <w:lang w:val="en-US" w:eastAsia="zh-CN"/>
        </w:rPr>
        <w:t>呼伦贝尔市生态环境局</w:t>
      </w:r>
      <w:r>
        <w:rPr>
          <w:rStyle w:val="6"/>
          <w:rFonts w:hint="eastAsia" w:ascii="仿宋_GB2312" w:hAnsi="宋体" w:eastAsia="仿宋_GB2312"/>
          <w:sz w:val="32"/>
          <w:szCs w:val="32"/>
          <w:highlight w:val="none"/>
        </w:rPr>
        <w:t>鄂温克分局</w:t>
      </w:r>
      <w:r>
        <w:rPr>
          <w:rStyle w:val="6"/>
          <w:rFonts w:hint="eastAsia" w:ascii="仿宋_GB2312" w:hAnsi="宋体" w:eastAsia="仿宋_GB2312"/>
          <w:sz w:val="32"/>
          <w:szCs w:val="32"/>
          <w:highlight w:val="none"/>
          <w:lang w:val="en-US" w:eastAsia="zh-CN"/>
        </w:rPr>
        <w:t>单位预算包括：呼伦贝尔市生态环境局鄂温克分局，单位性质为</w:t>
      </w:r>
      <w:r>
        <w:rPr>
          <w:rStyle w:val="6"/>
          <w:rFonts w:hint="eastAsia" w:ascii="仿宋_GB2312" w:hAnsi="宋体" w:eastAsia="仿宋_GB2312"/>
          <w:sz w:val="32"/>
          <w:szCs w:val="32"/>
          <w:highlight w:val="none"/>
        </w:rPr>
        <w:t>行政单位</w:t>
      </w:r>
      <w:r>
        <w:rPr>
          <w:rStyle w:val="6"/>
          <w:rFonts w:hint="eastAsia" w:ascii="仿宋_GB2312" w:hAnsi="宋体" w:eastAsia="仿宋_GB2312"/>
          <w:sz w:val="32"/>
          <w:szCs w:val="32"/>
          <w:highlight w:val="none"/>
          <w:lang w:eastAsia="zh-CN"/>
        </w:rPr>
        <w:t>，</w:t>
      </w:r>
      <w:r>
        <w:rPr>
          <w:rStyle w:val="6"/>
          <w:rFonts w:hint="eastAsia" w:ascii="仿宋_GB2312" w:hAnsi="宋体" w:eastAsia="仿宋_GB2312"/>
          <w:sz w:val="32"/>
          <w:szCs w:val="32"/>
          <w:highlight w:val="none"/>
          <w:lang w:val="en-US" w:eastAsia="zh-CN"/>
        </w:rPr>
        <w:t>下设三个三级</w:t>
      </w:r>
      <w:r>
        <w:rPr>
          <w:rStyle w:val="6"/>
          <w:rFonts w:ascii="仿宋_GB2312" w:hAnsi="宋体" w:eastAsia="仿宋_GB2312"/>
          <w:sz w:val="32"/>
          <w:szCs w:val="32"/>
          <w:highlight w:val="none"/>
        </w:rPr>
        <w:t>单位</w:t>
      </w:r>
      <w:r>
        <w:rPr>
          <w:rStyle w:val="6"/>
          <w:rFonts w:hint="eastAsia" w:ascii="仿宋_GB2312" w:hAnsi="宋体" w:eastAsia="仿宋_GB2312"/>
          <w:sz w:val="32"/>
          <w:szCs w:val="32"/>
          <w:highlight w:val="none"/>
          <w:lang w:eastAsia="zh-CN"/>
        </w:rPr>
        <w:t>。</w:t>
      </w:r>
      <w:r>
        <w:rPr>
          <w:rStyle w:val="6"/>
          <w:rFonts w:hint="eastAsia" w:ascii="仿宋_GB2312" w:hAnsi="宋体" w:eastAsia="仿宋_GB2312"/>
          <w:sz w:val="32"/>
          <w:szCs w:val="32"/>
          <w:highlight w:val="none"/>
          <w:lang w:val="en-US" w:eastAsia="zh-CN"/>
        </w:rPr>
        <w:t>分别为鄂温克族自治旗环境监测站，单位性质为公益一类事业单位，鄂温克族自治旗生态环境综合行政执法大队，单位性质为公益一类事业单位，鄂温克族自治旗空气自动监测站，单位性质为公益一类事业单位。</w:t>
      </w:r>
    </w:p>
    <w:p>
      <w:pPr>
        <w:spacing w:line="560" w:lineRule="exact"/>
        <w:ind w:firstLine="645"/>
        <w:rPr>
          <w:rStyle w:val="6"/>
          <w:rFonts w:ascii="仿宋_GB2312" w:hAnsi="宋体" w:eastAsia="仿宋_GB2312"/>
          <w:sz w:val="32"/>
          <w:szCs w:val="32"/>
          <w:highlight w:val="none"/>
        </w:rPr>
      </w:pPr>
      <w:r>
        <w:rPr>
          <w:rStyle w:val="6"/>
          <w:rFonts w:ascii="仿宋_GB2312" w:hAnsi="宋体" w:eastAsia="仿宋_GB2312"/>
          <w:sz w:val="32"/>
          <w:szCs w:val="32"/>
          <w:highlight w:val="none"/>
        </w:rPr>
        <w:t>2.人员基本情况：</w:t>
      </w:r>
      <w:r>
        <w:rPr>
          <w:rStyle w:val="6"/>
          <w:rFonts w:hint="eastAsia" w:ascii="仿宋_GB2312" w:hAnsi="宋体" w:eastAsia="仿宋_GB2312"/>
          <w:sz w:val="32"/>
          <w:szCs w:val="32"/>
          <w:highlight w:val="none"/>
          <w:lang w:val="en-US" w:eastAsia="zh-CN"/>
        </w:rPr>
        <w:t>编制数27人，其中行政编制6人，</w:t>
      </w:r>
      <w:bookmarkStart w:id="0" w:name="_GoBack"/>
      <w:bookmarkEnd w:id="0"/>
      <w:r>
        <w:rPr>
          <w:rStyle w:val="6"/>
          <w:rFonts w:hint="eastAsia" w:ascii="仿宋_GB2312" w:hAnsi="宋体" w:eastAsia="仿宋_GB2312"/>
          <w:sz w:val="32"/>
          <w:szCs w:val="32"/>
          <w:highlight w:val="none"/>
          <w:lang w:val="en-US" w:eastAsia="zh-CN"/>
        </w:rPr>
        <w:t>参公编制5人，事业编制16人。</w:t>
      </w:r>
    </w:p>
    <w:p>
      <w:pPr>
        <w:spacing w:line="560" w:lineRule="exact"/>
        <w:ind w:firstLine="645"/>
        <w:rPr>
          <w:rStyle w:val="6"/>
          <w:rFonts w:ascii="仿宋_GB2312" w:hAnsi="宋体" w:eastAsia="仿宋_GB2312"/>
          <w:sz w:val="32"/>
          <w:szCs w:val="32"/>
        </w:rPr>
      </w:pPr>
      <w:r>
        <w:rPr>
          <w:rStyle w:val="6"/>
          <w:rFonts w:ascii="仿宋_GB2312" w:hAnsi="宋体" w:eastAsia="仿宋_GB2312"/>
          <w:sz w:val="32"/>
          <w:szCs w:val="32"/>
          <w:highlight w:val="none"/>
        </w:rPr>
        <w:t>2021年预算财政供养人员共计22人，其中</w:t>
      </w:r>
      <w:r>
        <w:rPr>
          <w:rStyle w:val="6"/>
          <w:rFonts w:ascii="仿宋_GB2312" w:hAnsi="宋体" w:eastAsia="仿宋_GB2312"/>
          <w:sz w:val="32"/>
          <w:szCs w:val="32"/>
        </w:rPr>
        <w:t>实有在职21人、离休0人、退休1人。</w:t>
      </w:r>
      <w:r>
        <w:rPr>
          <w:rFonts w:hint="eastAsia" w:ascii="仿宋_GB2312" w:hAnsi="宋体" w:eastAsia="仿宋_GB2312"/>
          <w:sz w:val="32"/>
          <w:szCs w:val="32"/>
        </w:rPr>
        <w:t>与上年相比，在职人员比上年减少1人，</w:t>
      </w:r>
      <w:r>
        <w:rPr>
          <w:rFonts w:hint="eastAsia" w:ascii="仿宋_GB2312" w:hAnsi="宋体" w:eastAsia="仿宋_GB2312"/>
          <w:sz w:val="32"/>
          <w:szCs w:val="32"/>
          <w:lang w:val="en-US" w:eastAsia="zh-CN"/>
        </w:rPr>
        <w:t>减少</w:t>
      </w:r>
      <w:r>
        <w:rPr>
          <w:rFonts w:hint="eastAsia" w:ascii="仿宋_GB2312" w:hAnsi="宋体" w:eastAsia="仿宋_GB2312"/>
          <w:sz w:val="32"/>
          <w:szCs w:val="32"/>
        </w:rPr>
        <w:t>原因为</w:t>
      </w:r>
      <w:r>
        <w:rPr>
          <w:rFonts w:hint="eastAsia" w:ascii="仿宋_GB2312" w:hAnsi="宋体" w:eastAsia="仿宋_GB2312"/>
          <w:sz w:val="32"/>
          <w:szCs w:val="32"/>
          <w:lang w:val="en-US" w:eastAsia="zh-CN"/>
        </w:rPr>
        <w:t>正常退休。离休人员比上年增加增加0人，</w:t>
      </w:r>
      <w:r>
        <w:rPr>
          <w:rFonts w:hint="eastAsia" w:ascii="仿宋_GB2312" w:hAnsi="宋体" w:eastAsia="仿宋_GB2312"/>
          <w:sz w:val="32"/>
          <w:szCs w:val="32"/>
        </w:rPr>
        <w:t>离休人数较上年没有变化。退休人员比上年增加1人，增加原因</w:t>
      </w:r>
      <w:r>
        <w:rPr>
          <w:rFonts w:hint="eastAsia" w:ascii="仿宋_GB2312" w:hAnsi="宋体" w:eastAsia="仿宋_GB2312"/>
          <w:sz w:val="32"/>
          <w:szCs w:val="32"/>
          <w:lang w:val="en-US" w:eastAsia="zh-CN"/>
        </w:rPr>
        <w:t>为</w:t>
      </w:r>
      <w:r>
        <w:rPr>
          <w:rFonts w:hint="eastAsia" w:ascii="仿宋_GB2312" w:hAnsi="宋体" w:eastAsia="仿宋_GB2312"/>
          <w:sz w:val="32"/>
          <w:szCs w:val="32"/>
        </w:rPr>
        <w:t>本</w:t>
      </w:r>
      <w:r>
        <w:rPr>
          <w:rFonts w:hint="eastAsia" w:ascii="仿宋_GB2312" w:hAnsi="宋体" w:eastAsia="仿宋_GB2312"/>
          <w:sz w:val="32"/>
          <w:szCs w:val="32"/>
          <w:lang w:val="en-US" w:eastAsia="zh-CN"/>
        </w:rPr>
        <w:t>年度</w:t>
      </w:r>
      <w:r>
        <w:rPr>
          <w:rFonts w:hint="eastAsia" w:ascii="仿宋_GB2312" w:hAnsi="宋体" w:eastAsia="仿宋_GB2312"/>
          <w:sz w:val="32"/>
          <w:szCs w:val="32"/>
        </w:rPr>
        <w:t>退休</w:t>
      </w:r>
      <w:r>
        <w:rPr>
          <w:rFonts w:hint="eastAsia" w:ascii="仿宋_GB2312" w:hAnsi="宋体" w:eastAsia="仿宋_GB2312"/>
          <w:sz w:val="32"/>
          <w:szCs w:val="32"/>
          <w:lang w:val="en-US" w:eastAsia="zh-CN"/>
        </w:rPr>
        <w:t>1人</w:t>
      </w:r>
      <w:r>
        <w:rPr>
          <w:rFonts w:hint="eastAsia" w:ascii="仿宋_GB2312" w:hAnsi="宋体" w:eastAsia="仿宋_GB2312"/>
          <w:sz w:val="32"/>
          <w:szCs w:val="32"/>
        </w:rPr>
        <w:t>。</w:t>
      </w:r>
    </w:p>
    <w:p>
      <w:pPr>
        <w:spacing w:line="560" w:lineRule="exact"/>
        <w:rPr>
          <w:rStyle w:val="6"/>
          <w:rFonts w:ascii="黑体" w:hAnsi="黑体" w:eastAsia="黑体"/>
          <w:sz w:val="36"/>
          <w:szCs w:val="36"/>
        </w:rPr>
      </w:pPr>
      <w:r>
        <w:rPr>
          <w:rStyle w:val="6"/>
          <w:rFonts w:ascii="黑体" w:hAnsi="黑体" w:eastAsia="黑体"/>
          <w:sz w:val="36"/>
          <w:szCs w:val="36"/>
        </w:rPr>
        <w:t>第二部分 2021年部门所属单位预算安排情况</w:t>
      </w:r>
    </w:p>
    <w:p>
      <w:pPr>
        <w:spacing w:line="560" w:lineRule="exact"/>
        <w:ind w:firstLine="627" w:firstLineChars="196"/>
        <w:rPr>
          <w:rStyle w:val="6"/>
          <w:rFonts w:ascii="黑体" w:hAnsi="宋体" w:eastAsia="黑体" w:cs="Times New Roman"/>
          <w:bCs/>
          <w:sz w:val="32"/>
          <w:szCs w:val="32"/>
        </w:rPr>
      </w:pPr>
      <w:r>
        <w:rPr>
          <w:rStyle w:val="6"/>
          <w:rFonts w:ascii="黑体" w:hAnsi="宋体" w:eastAsia="黑体" w:cs="Times New Roman"/>
          <w:bCs/>
          <w:sz w:val="32"/>
          <w:szCs w:val="32"/>
        </w:rPr>
        <w:t>一、2021年部门所属单位预算收支总体情况说明</w:t>
      </w:r>
    </w:p>
    <w:p>
      <w:pPr>
        <w:snapToGrid w:val="0"/>
        <w:spacing w:line="560" w:lineRule="exact"/>
        <w:ind w:firstLine="640"/>
        <w:rPr>
          <w:rStyle w:val="6"/>
          <w:rFonts w:ascii="仿宋_GB2312" w:eastAsia="仿宋_GB2312"/>
          <w:sz w:val="32"/>
          <w:szCs w:val="32"/>
        </w:rPr>
      </w:pPr>
      <w:r>
        <w:rPr>
          <w:rStyle w:val="6"/>
          <w:rFonts w:ascii="仿宋_GB2312" w:eastAsia="仿宋_GB2312"/>
          <w:sz w:val="32"/>
          <w:szCs w:val="32"/>
        </w:rPr>
        <w:t>收入预算303.14万元，比2020年预算减少335.62万元，下降52.54%，减少主要是由于上年存在项目收入242万元。</w:t>
      </w:r>
    </w:p>
    <w:p>
      <w:pPr>
        <w:snapToGrid w:val="0"/>
        <w:spacing w:line="560" w:lineRule="exact"/>
        <w:ind w:firstLine="640"/>
        <w:rPr>
          <w:rStyle w:val="6"/>
          <w:rFonts w:ascii="仿宋_GB2312" w:eastAsia="仿宋_GB2312"/>
          <w:sz w:val="32"/>
          <w:szCs w:val="32"/>
        </w:rPr>
      </w:pPr>
      <w:r>
        <w:rPr>
          <w:rStyle w:val="6"/>
          <w:rFonts w:ascii="仿宋_GB2312" w:eastAsia="仿宋_GB2312"/>
          <w:sz w:val="32"/>
          <w:szCs w:val="32"/>
        </w:rPr>
        <w:t>支出预算303.14万元，比2020年预算减少335.62万元，下降52.54%，减少主要是由于上年存在项目收入242万元。</w:t>
      </w:r>
    </w:p>
    <w:p>
      <w:pPr>
        <w:snapToGrid w:val="0"/>
        <w:spacing w:line="560" w:lineRule="exact"/>
        <w:ind w:firstLine="640"/>
        <w:rPr>
          <w:rStyle w:val="6"/>
          <w:rFonts w:ascii="仿宋_GB2312" w:hAnsi="宋体" w:eastAsia="仿宋_GB2312"/>
          <w:b/>
          <w:sz w:val="32"/>
          <w:szCs w:val="32"/>
        </w:rPr>
      </w:pPr>
      <w:r>
        <w:rPr>
          <w:rStyle w:val="6"/>
          <w:rFonts w:ascii="楷体" w:hAnsi="楷体" w:eastAsia="楷体"/>
          <w:b/>
          <w:sz w:val="32"/>
          <w:szCs w:val="32"/>
        </w:rPr>
        <w:t>（一）部门所属单位预算收入情况说明</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部门所属单位预算收入为303.14万元，其中：一般公共预算拨款收入303.14万元，占比100%；政府性基金预算拨款收入0万元，占比0%；事业收入0万元，占比0%；事业单位经营收入0万元，占比0%；其他收入0万元，占比0%，上年结转安排0万元，占比0%。</w:t>
      </w:r>
    </w:p>
    <w:p>
      <w:pPr>
        <w:spacing w:line="560" w:lineRule="exact"/>
        <w:ind w:firstLine="630" w:firstLineChars="196"/>
        <w:rPr>
          <w:rStyle w:val="6"/>
          <w:rFonts w:ascii="楷体" w:hAnsi="楷体" w:eastAsia="楷体"/>
          <w:b/>
          <w:sz w:val="32"/>
          <w:szCs w:val="32"/>
        </w:rPr>
      </w:pPr>
      <w:r>
        <w:rPr>
          <w:rStyle w:val="6"/>
          <w:rFonts w:ascii="楷体" w:hAnsi="楷体" w:eastAsia="楷体"/>
          <w:b/>
          <w:sz w:val="32"/>
          <w:szCs w:val="32"/>
        </w:rPr>
        <w:t>（二）部门所属单位预算支出情况说明</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 xml:space="preserve">部门所属单位预算支出303.14万元，其中：基本支出303.14万元，占比100%；项目支出0万元，占比0%；事业单位经营支出0万元，占比0%。 </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主要用于机构运转、专业活动等方面支出。</w:t>
      </w:r>
    </w:p>
    <w:p>
      <w:pPr>
        <w:spacing w:line="560" w:lineRule="exact"/>
        <w:ind w:firstLine="630" w:firstLineChars="196"/>
        <w:rPr>
          <w:rStyle w:val="6"/>
          <w:rFonts w:ascii="楷体" w:hAnsi="楷体" w:eastAsia="楷体"/>
          <w:b/>
          <w:sz w:val="32"/>
          <w:szCs w:val="32"/>
        </w:rPr>
      </w:pPr>
      <w:r>
        <w:rPr>
          <w:rStyle w:val="6"/>
          <w:rFonts w:ascii="楷体" w:hAnsi="楷体" w:eastAsia="楷体"/>
          <w:b/>
          <w:sz w:val="32"/>
          <w:szCs w:val="32"/>
        </w:rPr>
        <w:t>（三）部门所属单位预算收支较上年增减分析</w:t>
      </w:r>
    </w:p>
    <w:p>
      <w:pPr>
        <w:spacing w:line="560" w:lineRule="exact"/>
        <w:ind w:firstLine="627" w:firstLineChars="196"/>
        <w:rPr>
          <w:rStyle w:val="6"/>
          <w:rFonts w:ascii="仿宋_GB2312" w:eastAsia="仿宋_GB2312"/>
          <w:sz w:val="32"/>
          <w:szCs w:val="32"/>
        </w:rPr>
      </w:pPr>
      <w:r>
        <w:rPr>
          <w:rStyle w:val="6"/>
          <w:rFonts w:ascii="仿宋_GB2312" w:hAnsi="仿宋_GB2312" w:eastAsia="仿宋_GB2312"/>
          <w:sz w:val="32"/>
          <w:szCs w:val="32"/>
        </w:rPr>
        <w:t>2021年部门所属单位预算收入、支出303.14万元，比上年减少335.62万元，</w:t>
      </w:r>
      <w:r>
        <w:rPr>
          <w:rStyle w:val="6"/>
          <w:rFonts w:hint="eastAsia" w:ascii="仿宋_GB2312" w:hAnsi="仿宋_GB2312" w:eastAsia="仿宋_GB2312"/>
          <w:sz w:val="32"/>
          <w:szCs w:val="32"/>
        </w:rPr>
        <w:t>减少</w:t>
      </w:r>
      <w:r>
        <w:rPr>
          <w:rStyle w:val="6"/>
          <w:rFonts w:ascii="仿宋_GB2312" w:hAnsi="仿宋_GB2312" w:eastAsia="仿宋_GB2312"/>
          <w:sz w:val="32"/>
          <w:szCs w:val="32"/>
        </w:rPr>
        <w:t>52.54%，</w:t>
      </w:r>
      <w:r>
        <w:rPr>
          <w:rStyle w:val="6"/>
          <w:rFonts w:hint="eastAsia" w:ascii="仿宋_GB2312" w:hAnsi="仿宋_GB2312" w:eastAsia="仿宋_GB2312"/>
          <w:sz w:val="32"/>
          <w:szCs w:val="32"/>
        </w:rPr>
        <w:t>减少原因</w:t>
      </w:r>
      <w:r>
        <w:rPr>
          <w:rStyle w:val="6"/>
          <w:rFonts w:hint="eastAsia" w:ascii="仿宋_GB2312" w:eastAsia="仿宋_GB2312"/>
          <w:sz w:val="32"/>
          <w:szCs w:val="32"/>
        </w:rPr>
        <w:t>：</w:t>
      </w:r>
    </w:p>
    <w:p>
      <w:pPr>
        <w:spacing w:line="560" w:lineRule="exact"/>
        <w:ind w:firstLine="627" w:firstLineChars="196"/>
        <w:rPr>
          <w:rStyle w:val="6"/>
          <w:rFonts w:ascii="仿宋_GB2312" w:eastAsia="仿宋_GB2312"/>
          <w:sz w:val="32"/>
          <w:szCs w:val="32"/>
        </w:rPr>
      </w:pPr>
      <w:r>
        <w:rPr>
          <w:rStyle w:val="6"/>
          <w:rFonts w:ascii="仿宋_GB2312" w:eastAsia="仿宋_GB2312"/>
          <w:sz w:val="32"/>
          <w:szCs w:val="32"/>
        </w:rPr>
        <w:t>上年存在项目收入242万元。</w:t>
      </w:r>
    </w:p>
    <w:p>
      <w:pPr>
        <w:spacing w:line="560" w:lineRule="exact"/>
        <w:ind w:firstLine="627" w:firstLineChars="196"/>
        <w:rPr>
          <w:rStyle w:val="6"/>
          <w:rFonts w:ascii="黑体" w:hAnsi="黑体" w:eastAsia="黑体" w:cs="Times New Roman"/>
          <w:bCs/>
          <w:sz w:val="32"/>
          <w:szCs w:val="32"/>
        </w:rPr>
      </w:pPr>
      <w:r>
        <w:rPr>
          <w:rStyle w:val="6"/>
          <w:rFonts w:ascii="黑体" w:hAnsi="黑体" w:eastAsia="黑体" w:cs="Times New Roman"/>
          <w:bCs/>
          <w:sz w:val="32"/>
          <w:szCs w:val="32"/>
        </w:rPr>
        <w:t>二、一般公共预算财政拨款收支情况说明</w:t>
      </w:r>
    </w:p>
    <w:p>
      <w:pPr>
        <w:spacing w:line="560" w:lineRule="exact"/>
        <w:ind w:firstLine="472" w:firstLineChars="147"/>
        <w:rPr>
          <w:rStyle w:val="6"/>
          <w:rFonts w:ascii="楷体" w:hAnsi="楷体" w:eastAsia="楷体"/>
          <w:b/>
          <w:sz w:val="32"/>
          <w:szCs w:val="32"/>
        </w:rPr>
      </w:pPr>
      <w:r>
        <w:rPr>
          <w:rStyle w:val="6"/>
          <w:rFonts w:ascii="楷体" w:hAnsi="楷体" w:eastAsia="楷体"/>
          <w:b/>
          <w:sz w:val="32"/>
          <w:szCs w:val="32"/>
        </w:rPr>
        <w:t>（一）财政拨款结构情况</w:t>
      </w:r>
    </w:p>
    <w:p>
      <w:pPr>
        <w:spacing w:line="560" w:lineRule="exact"/>
        <w:ind w:firstLine="627" w:firstLineChars="196"/>
        <w:rPr>
          <w:rStyle w:val="6"/>
          <w:rFonts w:ascii="仿宋_GB2312" w:eastAsia="仿宋_GB2312"/>
          <w:sz w:val="32"/>
          <w:szCs w:val="32"/>
        </w:rPr>
      </w:pPr>
      <w:r>
        <w:rPr>
          <w:rStyle w:val="6"/>
          <w:rFonts w:ascii="仿宋_GB2312" w:hAnsi="仿宋_GB2312" w:eastAsia="仿宋_GB2312"/>
          <w:sz w:val="32"/>
          <w:szCs w:val="32"/>
        </w:rPr>
        <w:t>财政拨款收支预算303.14万元，包括一般公共预算财政拨款303.14万元、占比100%；政府性基金预算财政拨款0万元，占比0%；上年结转0万元，占比0%。较2020年减少335.62万元，减少52.54%，</w:t>
      </w:r>
      <w:r>
        <w:rPr>
          <w:rStyle w:val="6"/>
          <w:rFonts w:hint="eastAsia" w:ascii="仿宋_GB2312" w:hAnsi="仿宋_GB2312" w:eastAsia="仿宋_GB2312"/>
          <w:sz w:val="32"/>
          <w:szCs w:val="32"/>
        </w:rPr>
        <w:t>减少</w:t>
      </w:r>
      <w:r>
        <w:rPr>
          <w:rStyle w:val="6"/>
          <w:rFonts w:ascii="仿宋_GB2312" w:hAnsi="仿宋_GB2312" w:eastAsia="仿宋_GB2312"/>
          <w:sz w:val="32"/>
          <w:szCs w:val="32"/>
        </w:rPr>
        <w:t>原因：</w:t>
      </w:r>
    </w:p>
    <w:p>
      <w:pPr>
        <w:spacing w:line="560" w:lineRule="exact"/>
        <w:ind w:firstLine="627" w:firstLineChars="196"/>
        <w:rPr>
          <w:rStyle w:val="6"/>
          <w:rFonts w:ascii="仿宋_GB2312" w:eastAsia="仿宋_GB2312"/>
          <w:sz w:val="32"/>
          <w:szCs w:val="32"/>
        </w:rPr>
      </w:pPr>
      <w:r>
        <w:rPr>
          <w:rStyle w:val="6"/>
          <w:rFonts w:ascii="仿宋_GB2312" w:eastAsia="仿宋_GB2312"/>
          <w:sz w:val="32"/>
          <w:szCs w:val="32"/>
        </w:rPr>
        <w:t>上年存在项目收入242万元。</w:t>
      </w:r>
    </w:p>
    <w:p>
      <w:pPr>
        <w:spacing w:line="560" w:lineRule="exact"/>
        <w:ind w:firstLine="472" w:firstLineChars="147"/>
        <w:rPr>
          <w:rStyle w:val="6"/>
          <w:rFonts w:ascii="楷体" w:hAnsi="楷体" w:eastAsia="楷体"/>
          <w:b/>
          <w:sz w:val="32"/>
          <w:szCs w:val="32"/>
        </w:rPr>
      </w:pPr>
      <w:r>
        <w:rPr>
          <w:rStyle w:val="6"/>
          <w:rFonts w:ascii="楷体" w:hAnsi="楷体" w:eastAsia="楷体"/>
          <w:b/>
          <w:sz w:val="32"/>
          <w:szCs w:val="32"/>
        </w:rPr>
        <w:t>（二）2021年一般公共预算财政拨款具体使用安排情况</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b/>
          <w:sz w:val="32"/>
          <w:szCs w:val="32"/>
        </w:rPr>
        <w:t>201一般公共服务支出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b/>
          <w:sz w:val="32"/>
          <w:szCs w:val="32"/>
        </w:rPr>
        <w:t>203国防支出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b/>
          <w:sz w:val="32"/>
          <w:szCs w:val="32"/>
        </w:rPr>
        <w:t>204公共安全支出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b/>
          <w:sz w:val="32"/>
          <w:szCs w:val="32"/>
        </w:rPr>
        <w:t>205教育支出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b/>
          <w:sz w:val="32"/>
          <w:szCs w:val="32"/>
        </w:rPr>
        <w:t>206科学技术支出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Style w:val="6"/>
          <w:rFonts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b/>
          <w:sz w:val="32"/>
          <w:szCs w:val="32"/>
        </w:rPr>
        <w:t>207文化旅游体育与传媒支出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7.</w:t>
      </w:r>
      <w:r>
        <w:rPr>
          <w:rStyle w:val="6"/>
          <w:rFonts w:ascii="仿宋_GB2312" w:hAnsi="仿宋_GB2312" w:eastAsia="仿宋_GB2312"/>
          <w:b/>
          <w:sz w:val="32"/>
          <w:szCs w:val="32"/>
        </w:rPr>
        <w:t>208社会保障和就业支出</w:t>
      </w:r>
      <w:r>
        <w:rPr>
          <w:rStyle w:val="6"/>
          <w:rFonts w:ascii="仿宋_GB2312" w:hAnsi="仿宋_GB2312" w:eastAsia="仿宋_GB2312"/>
          <w:sz w:val="32"/>
          <w:szCs w:val="32"/>
        </w:rPr>
        <w:t>23.85万元，占比7.87%，主要用于单位社保保障缴费方面的支出。较上年预算数增加0.2万元，增加原因是增资原因影响了缴费比例基数，增长较少。</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8.</w:t>
      </w:r>
      <w:r>
        <w:rPr>
          <w:rStyle w:val="6"/>
          <w:rFonts w:ascii="仿宋_GB2312" w:hAnsi="仿宋_GB2312" w:eastAsia="仿宋_GB2312"/>
          <w:b/>
          <w:sz w:val="32"/>
          <w:szCs w:val="32"/>
        </w:rPr>
        <w:t>210卫生健康支出</w:t>
      </w:r>
      <w:r>
        <w:rPr>
          <w:rStyle w:val="6"/>
          <w:rFonts w:ascii="仿宋_GB2312" w:hAnsi="仿宋_GB2312" w:eastAsia="仿宋_GB2312"/>
          <w:sz w:val="32"/>
          <w:szCs w:val="32"/>
        </w:rPr>
        <w:t>19.12万元，占比6.31%，主要用于医疗保险方面的支出。较上年预算数增加5.08万元， 增加原因增资原因影响了缴费比例基数。</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9.</w:t>
      </w:r>
      <w:r>
        <w:rPr>
          <w:rStyle w:val="6"/>
          <w:rFonts w:ascii="仿宋_GB2312" w:hAnsi="仿宋_GB2312" w:eastAsia="仿宋_GB2312"/>
          <w:b/>
          <w:sz w:val="32"/>
          <w:szCs w:val="32"/>
        </w:rPr>
        <w:t>211节能环保支出</w:t>
      </w:r>
      <w:r>
        <w:rPr>
          <w:rStyle w:val="6"/>
          <w:rFonts w:ascii="仿宋_GB2312" w:hAnsi="仿宋_GB2312" w:eastAsia="仿宋_GB2312"/>
          <w:sz w:val="32"/>
          <w:szCs w:val="32"/>
        </w:rPr>
        <w:t>240.37万元，占比79.29%，主要用于单位机关运行方面的支出。较上年预算数增加16.63万元，增加原因是机构运行方面的支出工资支出及办公费用方面的支出。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10.</w:t>
      </w:r>
      <w:r>
        <w:rPr>
          <w:rFonts w:hint="eastAsia" w:ascii="仿宋_GB2312" w:hAnsi="仿宋_GB2312" w:eastAsia="仿宋_GB2312" w:cs="仿宋_GB2312"/>
          <w:b/>
          <w:sz w:val="32"/>
          <w:szCs w:val="32"/>
        </w:rPr>
        <w:t>212城乡社区支出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11.</w:t>
      </w:r>
      <w:r>
        <w:rPr>
          <w:rFonts w:hint="eastAsia" w:ascii="仿宋_GB2312" w:hAnsi="仿宋_GB2312" w:eastAsia="仿宋_GB2312" w:cs="仿宋_GB2312"/>
          <w:b/>
          <w:sz w:val="32"/>
          <w:szCs w:val="32"/>
        </w:rPr>
        <w:t>213农林水支出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12.</w:t>
      </w:r>
      <w:r>
        <w:rPr>
          <w:rFonts w:hint="eastAsia" w:ascii="仿宋_GB2312" w:hAnsi="仿宋_GB2312" w:eastAsia="仿宋_GB2312" w:cs="仿宋_GB2312"/>
          <w:b/>
          <w:sz w:val="32"/>
          <w:szCs w:val="32"/>
        </w:rPr>
        <w:t>214交通运输支出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13.</w:t>
      </w:r>
      <w:r>
        <w:rPr>
          <w:rFonts w:hint="eastAsia" w:ascii="仿宋_GB2312" w:hAnsi="仿宋_GB2312" w:eastAsia="仿宋_GB2312" w:cs="仿宋_GB2312"/>
          <w:b/>
          <w:sz w:val="32"/>
          <w:szCs w:val="32"/>
        </w:rPr>
        <w:t>215资源勘探工业信息等支出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14.</w:t>
      </w:r>
      <w:r>
        <w:rPr>
          <w:rFonts w:hint="eastAsia" w:ascii="仿宋_GB2312" w:hAnsi="仿宋_GB2312" w:eastAsia="仿宋_GB2312" w:cs="仿宋_GB2312"/>
          <w:b/>
          <w:sz w:val="32"/>
          <w:szCs w:val="32"/>
        </w:rPr>
        <w:t>216商业服务业等支出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15.</w:t>
      </w:r>
      <w:r>
        <w:rPr>
          <w:rFonts w:hint="eastAsia" w:ascii="仿宋_GB2312" w:hAnsi="仿宋_GB2312" w:eastAsia="仿宋_GB2312" w:cs="仿宋_GB2312"/>
          <w:b/>
          <w:sz w:val="32"/>
          <w:szCs w:val="32"/>
        </w:rPr>
        <w:t>217金融支出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16.</w:t>
      </w:r>
      <w:r>
        <w:rPr>
          <w:rFonts w:hint="eastAsia" w:ascii="仿宋_GB2312" w:hAnsi="仿宋_GB2312" w:eastAsia="仿宋_GB2312" w:cs="仿宋_GB2312"/>
          <w:b/>
          <w:sz w:val="32"/>
          <w:szCs w:val="32"/>
        </w:rPr>
        <w:t>220自然资源海洋气象等支出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Style w:val="6"/>
          <w:rFonts w:ascii="仿宋_GB2312" w:hAnsi="仿宋_GB2312" w:eastAsia="仿宋_GB2312"/>
          <w:sz w:val="32"/>
          <w:szCs w:val="32"/>
          <w:highlight w:val="yellow"/>
        </w:rPr>
      </w:pPr>
      <w:r>
        <w:rPr>
          <w:rStyle w:val="6"/>
          <w:rFonts w:ascii="仿宋_GB2312" w:hAnsi="仿宋_GB2312" w:eastAsia="仿宋_GB2312"/>
          <w:sz w:val="32"/>
          <w:szCs w:val="32"/>
        </w:rPr>
        <w:t>17.</w:t>
      </w:r>
      <w:r>
        <w:rPr>
          <w:rStyle w:val="6"/>
          <w:rFonts w:ascii="仿宋_GB2312" w:hAnsi="仿宋_GB2312" w:eastAsia="仿宋_GB2312"/>
          <w:b/>
          <w:sz w:val="32"/>
          <w:szCs w:val="32"/>
        </w:rPr>
        <w:t>221住房保障支出</w:t>
      </w:r>
      <w:r>
        <w:rPr>
          <w:rStyle w:val="6"/>
          <w:rFonts w:ascii="仿宋_GB2312" w:hAnsi="仿宋_GB2312" w:eastAsia="仿宋_GB2312"/>
          <w:sz w:val="32"/>
          <w:szCs w:val="32"/>
        </w:rPr>
        <w:t>19.8万元，占比6.63%，主要用于缴纳职工住房公积金</w:t>
      </w:r>
      <w:r>
        <w:rPr>
          <w:rStyle w:val="6"/>
          <w:rFonts w:hint="eastAsia" w:ascii="仿宋_GB2312" w:hAnsi="仿宋_GB2312" w:eastAsia="仿宋_GB2312"/>
          <w:sz w:val="32"/>
          <w:szCs w:val="32"/>
        </w:rPr>
        <w:t>，</w:t>
      </w:r>
      <w:r>
        <w:rPr>
          <w:rFonts w:hint="eastAsia" w:ascii="仿宋_GB2312" w:hAnsi="仿宋_GB2312" w:eastAsia="仿宋_GB2312" w:cs="仿宋_GB2312"/>
          <w:sz w:val="32"/>
          <w:szCs w:val="32"/>
        </w:rPr>
        <w:t>较上年预算数增加0万元，</w:t>
      </w:r>
      <w:r>
        <w:rPr>
          <w:rFonts w:hint="eastAsia" w:ascii="仿宋_GB2312" w:hAnsi="仿宋_GB2312" w:eastAsia="仿宋_GB2312" w:cs="仿宋_GB2312"/>
          <w:color w:val="000000"/>
          <w:sz w:val="32"/>
          <w:szCs w:val="32"/>
        </w:rPr>
        <w:t>增加原因无变动。</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18.</w:t>
      </w:r>
      <w:r>
        <w:rPr>
          <w:rFonts w:hint="eastAsia" w:ascii="仿宋_GB2312" w:hAnsi="仿宋_GB2312" w:eastAsia="仿宋_GB2312" w:cs="仿宋_GB2312"/>
          <w:b/>
          <w:sz w:val="32"/>
          <w:szCs w:val="32"/>
        </w:rPr>
        <w:t>222粮油物资储备支出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19.</w:t>
      </w:r>
      <w:r>
        <w:rPr>
          <w:rFonts w:hint="eastAsia" w:ascii="仿宋_GB2312" w:hAnsi="仿宋_GB2312" w:eastAsia="仿宋_GB2312" w:cs="仿宋_GB2312"/>
          <w:b/>
          <w:sz w:val="32"/>
          <w:szCs w:val="32"/>
        </w:rPr>
        <w:t>224灾害防治及应急管理支出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w:t>
      </w:r>
      <w:r>
        <w:rPr>
          <w:rFonts w:hint="eastAsia" w:ascii="仿宋_GB2312" w:hAnsi="仿宋_GB2312" w:eastAsia="仿宋_GB2312" w:cs="仿宋_GB2312"/>
          <w:b/>
          <w:sz w:val="32"/>
          <w:szCs w:val="32"/>
        </w:rPr>
        <w:t>229其他支出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21.</w:t>
      </w:r>
      <w:r>
        <w:rPr>
          <w:rFonts w:hint="eastAsia" w:ascii="仿宋_GB2312" w:hAnsi="仿宋_GB2312" w:eastAsia="仿宋_GB2312" w:cs="仿宋_GB2312"/>
          <w:b/>
          <w:sz w:val="32"/>
          <w:szCs w:val="32"/>
        </w:rPr>
        <w:t>231债务还本支出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22.</w:t>
      </w:r>
      <w:r>
        <w:rPr>
          <w:rFonts w:hint="eastAsia" w:ascii="仿宋_GB2312" w:hAnsi="仿宋_GB2312" w:eastAsia="仿宋_GB2312" w:cs="仿宋_GB2312"/>
          <w:b/>
          <w:sz w:val="32"/>
          <w:szCs w:val="32"/>
        </w:rPr>
        <w:t>232债务付息支出</w:t>
      </w:r>
      <w:r>
        <w:rPr>
          <w:rFonts w:hint="eastAsia" w:ascii="仿宋_GB2312" w:hAnsi="仿宋_GB2312" w:eastAsia="仿宋_GB2312" w:cs="仿宋_GB2312"/>
          <w:sz w:val="32"/>
          <w:szCs w:val="32"/>
        </w:rPr>
        <w:t>0万元，占比0%，较上年预算数增加0万元，</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Style w:val="6"/>
          <w:rFonts w:ascii="黑体" w:hAnsi="黑体" w:eastAsia="黑体" w:cs="Times New Roman"/>
          <w:bCs/>
          <w:sz w:val="32"/>
          <w:szCs w:val="32"/>
        </w:rPr>
      </w:pPr>
      <w:r>
        <w:rPr>
          <w:rStyle w:val="6"/>
          <w:rFonts w:ascii="黑体" w:hAnsi="宋体" w:eastAsia="黑体" w:cs="Times New Roman"/>
          <w:bCs/>
          <w:sz w:val="32"/>
          <w:szCs w:val="32"/>
        </w:rPr>
        <w:t>三、</w:t>
      </w:r>
      <w:r>
        <w:rPr>
          <w:rStyle w:val="6"/>
          <w:rFonts w:ascii="黑体" w:hAnsi="黑体" w:eastAsia="黑体" w:cs="Times New Roman"/>
          <w:bCs/>
          <w:sz w:val="32"/>
          <w:szCs w:val="32"/>
        </w:rPr>
        <w:t>政府性基金预算财政拨款支出情况说明</w:t>
      </w:r>
    </w:p>
    <w:p>
      <w:pPr>
        <w:ind w:firstLine="600" w:firstLineChars="200"/>
        <w:rPr>
          <w:rFonts w:hint="eastAsia" w:ascii="仿宋_GB2312" w:hAnsi="仿宋_GB2312" w:eastAsia="仿宋_GB2312" w:cs="仿宋_GB2312"/>
          <w:sz w:val="32"/>
          <w:szCs w:val="32"/>
          <w:highlight w:val="yellow"/>
        </w:rPr>
      </w:pPr>
      <w:r>
        <w:rPr>
          <w:rFonts w:hint="eastAsia" w:ascii="仿宋_GB2312" w:hAnsi="仿宋_GB2312" w:eastAsia="仿宋_GB2312" w:cs="仿宋_GB2312"/>
          <w:color w:val="000000"/>
          <w:spacing w:val="-10"/>
          <w:sz w:val="32"/>
          <w:szCs w:val="32"/>
        </w:rPr>
        <w:t>我单位无政府性基金财政拨款预算。</w:t>
      </w:r>
    </w:p>
    <w:p>
      <w:pPr>
        <w:snapToGrid w:val="0"/>
        <w:spacing w:line="560" w:lineRule="exact"/>
        <w:ind w:firstLine="640" w:firstLineChars="200"/>
        <w:rPr>
          <w:rStyle w:val="6"/>
          <w:rFonts w:ascii="黑体" w:hAnsi="黑体" w:eastAsia="黑体"/>
          <w:sz w:val="32"/>
          <w:szCs w:val="32"/>
        </w:rPr>
      </w:pPr>
      <w:r>
        <w:rPr>
          <w:rStyle w:val="6"/>
          <w:rFonts w:ascii="黑体" w:hAnsi="黑体" w:eastAsia="黑体" w:cs="Times New Roman"/>
          <w:bCs/>
          <w:sz w:val="32"/>
          <w:szCs w:val="32"/>
        </w:rPr>
        <w:t>四、</w:t>
      </w:r>
      <w:r>
        <w:rPr>
          <w:rStyle w:val="6"/>
          <w:rFonts w:ascii="黑体" w:hAnsi="黑体" w:eastAsia="黑体"/>
          <w:sz w:val="32"/>
          <w:szCs w:val="32"/>
        </w:rPr>
        <w:t>国有资本经营预算拨款支出预算情况说明</w:t>
      </w:r>
    </w:p>
    <w:p>
      <w:pPr>
        <w:spacing w:line="560" w:lineRule="exact"/>
        <w:ind w:firstLine="627" w:firstLineChars="196"/>
        <w:rPr>
          <w:rFonts w:hint="eastAsia" w:ascii="华文仿宋" w:hAnsi="华文仿宋" w:eastAsia="华文仿宋"/>
          <w:bCs/>
          <w:sz w:val="32"/>
          <w:szCs w:val="32"/>
        </w:rPr>
      </w:pPr>
      <w:r>
        <w:rPr>
          <w:rFonts w:hint="eastAsia" w:ascii="华文仿宋" w:hAnsi="华文仿宋" w:eastAsia="华文仿宋"/>
          <w:bCs/>
          <w:sz w:val="32"/>
          <w:szCs w:val="32"/>
        </w:rPr>
        <w:t>我单位2021年无国有资本经营预算拨款支出。</w:t>
      </w:r>
    </w:p>
    <w:p>
      <w:pPr>
        <w:spacing w:line="560" w:lineRule="exact"/>
        <w:ind w:firstLine="627" w:firstLineChars="196"/>
        <w:rPr>
          <w:rStyle w:val="6"/>
          <w:rFonts w:ascii="黑体" w:hAnsi="宋体" w:eastAsia="黑体" w:cs="Times New Roman"/>
          <w:bCs/>
          <w:sz w:val="32"/>
          <w:szCs w:val="32"/>
        </w:rPr>
      </w:pPr>
      <w:r>
        <w:rPr>
          <w:rStyle w:val="6"/>
          <w:rFonts w:ascii="黑体" w:hAnsi="宋体" w:eastAsia="黑体" w:cs="Times New Roman"/>
          <w:bCs/>
          <w:sz w:val="32"/>
          <w:szCs w:val="32"/>
        </w:rPr>
        <w:t>五、财政拨款“三公”经费预算情况说明</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2021年财政拨款“三公”经费支出预算9.65万元，占总支出的3.18%，较上年预算增加9.65万元，增加100%;本年预算比上年执行数减少6.67万元，减少41.27%</w:t>
      </w:r>
      <w:r>
        <w:rPr>
          <w:rStyle w:val="6"/>
          <w:rFonts w:hint="eastAsia" w:ascii="仿宋_GB2312" w:hAnsi="仿宋_GB2312" w:eastAsia="仿宋_GB2312"/>
          <w:sz w:val="32"/>
          <w:szCs w:val="32"/>
        </w:rPr>
        <w:t>，</w:t>
      </w:r>
      <w:r>
        <w:rPr>
          <w:rStyle w:val="6"/>
          <w:rFonts w:ascii="仿宋_GB2312" w:hAnsi="仿宋_GB2312" w:eastAsia="仿宋_GB2312"/>
          <w:sz w:val="32"/>
          <w:szCs w:val="32"/>
        </w:rPr>
        <w:t xml:space="preserve">其中： </w:t>
      </w:r>
    </w:p>
    <w:p>
      <w:pPr>
        <w:spacing w:line="560" w:lineRule="exact"/>
        <w:ind w:firstLine="627" w:firstLineChars="196"/>
        <w:rPr>
          <w:rFonts w:ascii="仿宋_GB2312" w:hAnsi="仿宋_GB2312" w:eastAsia="仿宋_GB2312" w:cs="仿宋_GB2312"/>
          <w:sz w:val="32"/>
          <w:szCs w:val="32"/>
        </w:rPr>
      </w:pPr>
      <w:r>
        <w:rPr>
          <w:rStyle w:val="6"/>
          <w:rFonts w:ascii="仿宋_GB2312" w:hAnsi="仿宋_GB2312" w:eastAsia="仿宋_GB2312"/>
          <w:sz w:val="32"/>
          <w:szCs w:val="32"/>
        </w:rPr>
        <w:t>（一）因公出国（境）费0万元，较上年预算减少0万元，减少0%</w:t>
      </w:r>
      <w:r>
        <w:rPr>
          <w:rStyle w:val="6"/>
          <w:rFonts w:hint="eastAsia" w:ascii="仿宋_GB2312" w:hAnsi="仿宋_GB2312" w:eastAsia="仿宋_GB2312"/>
          <w:sz w:val="32"/>
          <w:szCs w:val="32"/>
        </w:rPr>
        <w:t>，</w:t>
      </w:r>
      <w:r>
        <w:rPr>
          <w:rFonts w:hint="eastAsia" w:ascii="仿宋_GB2312" w:hAnsi="仿宋_GB2312" w:eastAsia="仿宋_GB2312" w:cs="仿宋_GB2312"/>
          <w:sz w:val="32"/>
          <w:szCs w:val="32"/>
        </w:rPr>
        <w:t>减少原因</w:t>
      </w:r>
      <w:r>
        <w:rPr>
          <w:rFonts w:hint="eastAsia" w:ascii="仿宋_GB2312" w:hAnsi="仿宋_GB2312" w:eastAsia="仿宋_GB2312" w:cs="仿宋_GB2312"/>
          <w:color w:val="000000"/>
          <w:sz w:val="32"/>
          <w:szCs w:val="32"/>
        </w:rPr>
        <w:t>2021年我单位无此类支出</w:t>
      </w:r>
      <w:r>
        <w:rPr>
          <w:rFonts w:hint="eastAsia" w:ascii="仿宋_GB2312" w:hAnsi="仿宋_GB2312" w:eastAsia="仿宋_GB2312" w:cs="仿宋_GB2312"/>
          <w:sz w:val="32"/>
          <w:szCs w:val="32"/>
        </w:rPr>
        <w:t>。</w:t>
      </w:r>
    </w:p>
    <w:p>
      <w:pPr>
        <w:spacing w:line="560" w:lineRule="exact"/>
        <w:ind w:firstLine="640" w:firstLineChars="200"/>
        <w:rPr>
          <w:rStyle w:val="6"/>
          <w:rFonts w:ascii="仿宋_GB2312" w:hAnsi="仿宋_GB2312" w:eastAsia="仿宋_GB2312" w:cs="仿宋_GB2312"/>
          <w:sz w:val="32"/>
          <w:szCs w:val="32"/>
        </w:rPr>
      </w:pPr>
      <w:r>
        <w:rPr>
          <w:rFonts w:hint="eastAsia" w:ascii="仿宋_GB2312" w:hAnsi="仿宋_GB2312" w:eastAsia="仿宋_GB2312" w:cs="仿宋_GB2312"/>
          <w:sz w:val="32"/>
          <w:szCs w:val="32"/>
        </w:rPr>
        <w:t>本年预算比上年执行数减少0万元，减少0%，减少原因</w:t>
      </w:r>
      <w:r>
        <w:rPr>
          <w:rFonts w:hint="eastAsia" w:ascii="仿宋_GB2312" w:hAnsi="仿宋_GB2312" w:eastAsia="仿宋_GB2312" w:cs="仿宋_GB2312"/>
          <w:color w:val="000000"/>
          <w:sz w:val="32"/>
          <w:szCs w:val="32"/>
        </w:rPr>
        <w:t>2021年我单位无此类支出。</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（二）公务接待费1.19万元，较上年预算增加1.19万元，增长100%;增长的主要原因为上年我单位为旗县单位，预算不再市级预算内。</w:t>
      </w:r>
    </w:p>
    <w:p>
      <w:pPr>
        <w:spacing w:line="560" w:lineRule="exact"/>
        <w:ind w:firstLine="640" w:firstLineChars="200"/>
        <w:rPr>
          <w:rStyle w:val="6"/>
          <w:rFonts w:ascii="仿宋_GB2312" w:hAnsi="仿宋_GB2312" w:eastAsia="仿宋_GB2312"/>
          <w:sz w:val="32"/>
          <w:szCs w:val="32"/>
        </w:rPr>
      </w:pPr>
      <w:r>
        <w:rPr>
          <w:rStyle w:val="6"/>
          <w:rFonts w:ascii="仿宋_GB2312" w:hAnsi="仿宋_GB2312" w:eastAsia="仿宋_GB2312"/>
          <w:sz w:val="32"/>
          <w:szCs w:val="32"/>
        </w:rPr>
        <w:t>本年预算比上年执行数增加1.07万元，增长891.67.%，增长主要原因</w:t>
      </w:r>
      <w:r>
        <w:rPr>
          <w:rStyle w:val="6"/>
          <w:rFonts w:hint="eastAsia" w:ascii="仿宋_GB2312" w:hAnsi="仿宋_GB2312" w:eastAsia="仿宋_GB2312"/>
          <w:sz w:val="32"/>
          <w:szCs w:val="32"/>
        </w:rPr>
        <w:t>是</w:t>
      </w:r>
      <w:r>
        <w:rPr>
          <w:rStyle w:val="6"/>
          <w:rFonts w:ascii="仿宋_GB2312" w:hAnsi="仿宋_GB2312" w:eastAsia="仿宋_GB2312"/>
          <w:sz w:val="32"/>
          <w:szCs w:val="32"/>
        </w:rPr>
        <w:t>单位下乡次数较多主要用于职工下乡餐费。</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 xml:space="preserve">（三）公务用车购置及运行经费8.46万元，较上年预算增加8.46万元，增长100%；本年预算比上年执行数减少7.85万元，减少48.13%，其中： </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1.公务用车购置经费0万元，较上年预算减少0万元，减少0%。</w:t>
      </w:r>
    </w:p>
    <w:p>
      <w:pPr>
        <w:spacing w:line="560" w:lineRule="exact"/>
        <w:ind w:firstLine="627" w:firstLineChars="196"/>
        <w:rPr>
          <w:rStyle w:val="6"/>
          <w:rFonts w:ascii="仿宋_GB2312" w:hAnsi="仿宋_GB2312" w:eastAsia="仿宋_GB2312" w:cs="仿宋_GB2312"/>
          <w:sz w:val="32"/>
          <w:szCs w:val="32"/>
        </w:rPr>
      </w:pPr>
      <w:r>
        <w:rPr>
          <w:rStyle w:val="6"/>
          <w:rFonts w:ascii="仿宋_GB2312" w:hAnsi="仿宋_GB2312" w:eastAsia="仿宋_GB2312"/>
          <w:sz w:val="32"/>
          <w:szCs w:val="32"/>
        </w:rPr>
        <w:t>本年预算比上年执行数减少0万元，减少0%</w:t>
      </w:r>
      <w:r>
        <w:rPr>
          <w:rStyle w:val="6"/>
          <w:rFonts w:hint="eastAsia" w:ascii="仿宋_GB2312" w:hAnsi="仿宋_GB2312" w:eastAsia="仿宋_GB2312"/>
          <w:sz w:val="32"/>
          <w:szCs w:val="32"/>
        </w:rPr>
        <w:t>；</w:t>
      </w:r>
      <w:r>
        <w:rPr>
          <w:rFonts w:hint="eastAsia" w:ascii="仿宋_GB2312" w:hAnsi="仿宋_GB2312" w:eastAsia="仿宋_GB2312" w:cs="仿宋_GB2312"/>
          <w:sz w:val="32"/>
          <w:szCs w:val="32"/>
        </w:rPr>
        <w:t>减少主要原因为我单位本年没有购置车辆；</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2.公务用车运行维护费8.46万元，较上年预算增加8.46万元，增长100%；增长的主要原因为上年我单位为旗县单位，预算不再市级预算内。</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本年预算比上年执行数减少7.85万元，减少48.13%；减少</w:t>
      </w:r>
      <w:r>
        <w:rPr>
          <w:rStyle w:val="6"/>
          <w:rFonts w:hint="eastAsia" w:ascii="仿宋_GB2312" w:hAnsi="仿宋_GB2312" w:eastAsia="仿宋_GB2312"/>
          <w:sz w:val="32"/>
          <w:szCs w:val="32"/>
        </w:rPr>
        <w:t>原因</w:t>
      </w:r>
      <w:r>
        <w:rPr>
          <w:rStyle w:val="6"/>
          <w:rFonts w:ascii="仿宋_GB2312" w:hAnsi="仿宋_GB2312" w:eastAsia="仿宋_GB2312"/>
          <w:sz w:val="32"/>
          <w:szCs w:val="32"/>
        </w:rPr>
        <w:t>依据上级要求压缩三公经费，减少支出。</w:t>
      </w:r>
    </w:p>
    <w:p>
      <w:pPr>
        <w:spacing w:line="560" w:lineRule="exact"/>
        <w:ind w:firstLine="627" w:firstLineChars="196"/>
        <w:rPr>
          <w:rStyle w:val="6"/>
          <w:rFonts w:ascii="仿宋_GB2312" w:hAnsi="宋体" w:eastAsia="仿宋_GB2312"/>
          <w:sz w:val="32"/>
          <w:szCs w:val="32"/>
        </w:rPr>
      </w:pPr>
    </w:p>
    <w:p>
      <w:pPr>
        <w:spacing w:line="560" w:lineRule="exact"/>
        <w:ind w:firstLine="705" w:firstLineChars="196"/>
        <w:jc w:val="center"/>
        <w:rPr>
          <w:rStyle w:val="6"/>
          <w:rFonts w:ascii="黑体" w:hAnsi="黑体" w:eastAsia="黑体"/>
          <w:sz w:val="36"/>
          <w:szCs w:val="36"/>
        </w:rPr>
      </w:pPr>
      <w:r>
        <w:rPr>
          <w:rStyle w:val="6"/>
          <w:rFonts w:ascii="黑体" w:hAnsi="黑体" w:eastAsia="黑体"/>
          <w:sz w:val="36"/>
          <w:szCs w:val="36"/>
        </w:rPr>
        <w:t>第三部分 其他公开事项说明</w:t>
      </w:r>
    </w:p>
    <w:p>
      <w:pPr>
        <w:spacing w:line="560" w:lineRule="exact"/>
        <w:ind w:firstLine="705" w:firstLineChars="196"/>
        <w:jc w:val="center"/>
        <w:rPr>
          <w:rStyle w:val="6"/>
          <w:rFonts w:ascii="黑体" w:hAnsi="黑体" w:eastAsia="黑体"/>
          <w:sz w:val="36"/>
          <w:szCs w:val="36"/>
        </w:rPr>
      </w:pPr>
    </w:p>
    <w:p>
      <w:pPr>
        <w:spacing w:line="560" w:lineRule="exact"/>
        <w:ind w:firstLine="627" w:firstLineChars="196"/>
        <w:rPr>
          <w:rStyle w:val="6"/>
          <w:rFonts w:ascii="黑体" w:hAnsi="黑体" w:eastAsia="黑体" w:cs="Times New Roman"/>
          <w:bCs/>
          <w:sz w:val="32"/>
          <w:szCs w:val="32"/>
        </w:rPr>
      </w:pPr>
      <w:r>
        <w:rPr>
          <w:rStyle w:val="6"/>
          <w:rFonts w:ascii="黑体" w:hAnsi="黑体" w:eastAsia="黑体" w:cs="Times New Roman"/>
          <w:bCs/>
          <w:sz w:val="32"/>
          <w:szCs w:val="32"/>
        </w:rPr>
        <w:t>一、机关运行经费安排情况说明</w:t>
      </w:r>
    </w:p>
    <w:p>
      <w:pPr>
        <w:snapToGrid w:val="0"/>
        <w:spacing w:line="560" w:lineRule="exact"/>
        <w:ind w:firstLine="640" w:firstLineChars="200"/>
        <w:rPr>
          <w:rStyle w:val="6"/>
          <w:rFonts w:ascii="仿宋_GB2312" w:eastAsia="仿宋_GB2312"/>
          <w:sz w:val="32"/>
          <w:szCs w:val="32"/>
        </w:rPr>
      </w:pPr>
      <w:r>
        <w:rPr>
          <w:rStyle w:val="6"/>
          <w:rFonts w:ascii="仿宋_GB2312" w:eastAsia="仿宋_GB2312"/>
          <w:sz w:val="32"/>
          <w:szCs w:val="32"/>
        </w:rPr>
        <w:t>机关运行经费，是指各部门及所属单位的公用经费，包括办公及印刷费、邮电费、差旅费、会议费、福利费、日常维修费、专业材料及一般设备购置费、办公用房水电费、办公用房取暖费、办公用房物业管理费、公务用车运行维护费以及其他费用等。</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2021年我单位事业运转</w:t>
      </w:r>
      <w:r>
        <w:rPr>
          <w:rFonts w:hint="eastAsia" w:ascii="仿宋_GB2312" w:eastAsia="仿宋_GB2312"/>
          <w:color w:val="000000"/>
          <w:sz w:val="32"/>
          <w:szCs w:val="32"/>
        </w:rPr>
        <w:t>经费财政拨款</w:t>
      </w:r>
      <w:r>
        <w:rPr>
          <w:rFonts w:hint="eastAsia" w:ascii="仿宋_GB2312" w:eastAsia="仿宋_GB2312"/>
          <w:sz w:val="32"/>
          <w:szCs w:val="32"/>
        </w:rPr>
        <w:t>预算67.89</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其中：302商品和服务支出类：办公费7万元、印刷费1.5万元、咨询费0万元、手续费0万元、水费0.65万元、电费2.88万元、邮电费0万元、取暖费11.18万元、物业管理费15万元、差旅费4.12万元、因公出国（境） 费用0万元、维修（护）费0万元、租赁费0万元、会议费0万元、培训费0.5万元、公务接待费6万元、专用材料费0万元、被装购置费0万元、专用燃料费0万元、劳务费0万元、委托业务费0万元、工会经费1.65万元、福利费0万元、公务用车运行维护费12万元、其他交通费用5.4万元、税金及附加费用0万元、其他商品和服务支出0.01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snapToGrid w:val="0"/>
        <w:spacing w:line="560" w:lineRule="exact"/>
        <w:ind w:firstLine="640" w:firstLineChars="200"/>
        <w:rPr>
          <w:rStyle w:val="6"/>
          <w:rFonts w:ascii="仿宋_GB2312" w:hAnsi="黑体" w:eastAsia="仿宋_GB2312"/>
          <w:color w:val="000000"/>
          <w:sz w:val="32"/>
          <w:szCs w:val="32"/>
        </w:rPr>
      </w:pPr>
      <w:r>
        <w:rPr>
          <w:rStyle w:val="6"/>
          <w:rFonts w:ascii="仿宋_GB2312" w:eastAsia="仿宋_GB2312"/>
          <w:sz w:val="32"/>
          <w:szCs w:val="32"/>
        </w:rPr>
        <w:t>2021年机关运行</w:t>
      </w:r>
      <w:r>
        <w:rPr>
          <w:rStyle w:val="6"/>
          <w:rFonts w:ascii="仿宋_GB2312" w:eastAsia="仿宋_GB2312"/>
          <w:color w:val="000000"/>
          <w:sz w:val="32"/>
          <w:szCs w:val="32"/>
        </w:rPr>
        <w:t>经费比上年</w:t>
      </w:r>
      <w:r>
        <w:rPr>
          <w:rStyle w:val="6"/>
          <w:rFonts w:ascii="仿宋_GB2312" w:eastAsia="仿宋_GB2312"/>
          <w:sz w:val="32"/>
          <w:szCs w:val="32"/>
        </w:rPr>
        <w:t>增加54.8</w:t>
      </w:r>
      <w:r>
        <w:rPr>
          <w:rStyle w:val="6"/>
          <w:rFonts w:ascii="仿宋_GB2312" w:eastAsia="仿宋_GB2312"/>
          <w:color w:val="000000"/>
          <w:sz w:val="32"/>
          <w:szCs w:val="32"/>
        </w:rPr>
        <w:t>万元，</w:t>
      </w:r>
      <w:r>
        <w:rPr>
          <w:rStyle w:val="6"/>
          <w:rFonts w:ascii="仿宋_GB2312" w:eastAsia="仿宋_GB2312"/>
          <w:sz w:val="32"/>
          <w:szCs w:val="32"/>
        </w:rPr>
        <w:t>增长418.64 %</w:t>
      </w:r>
      <w:r>
        <w:rPr>
          <w:rStyle w:val="6"/>
          <w:rFonts w:ascii="仿宋_GB2312" w:eastAsia="仿宋_GB2312"/>
          <w:color w:val="000000"/>
          <w:sz w:val="32"/>
          <w:szCs w:val="32"/>
        </w:rPr>
        <w:t>，</w:t>
      </w:r>
      <w:r>
        <w:rPr>
          <w:rStyle w:val="6"/>
          <w:rFonts w:ascii="仿宋_GB2312" w:eastAsia="仿宋_GB2312"/>
          <w:sz w:val="32"/>
          <w:szCs w:val="32"/>
        </w:rPr>
        <w:t>增长主要原因是物业管理费及取暖费支出金额较大。</w:t>
      </w:r>
    </w:p>
    <w:p>
      <w:pPr>
        <w:spacing w:line="560" w:lineRule="exact"/>
        <w:ind w:firstLine="627" w:firstLineChars="196"/>
        <w:rPr>
          <w:rStyle w:val="6"/>
          <w:rFonts w:ascii="黑体" w:hAnsi="黑体" w:eastAsia="黑体" w:cs="Times New Roman"/>
          <w:bCs/>
          <w:sz w:val="32"/>
          <w:szCs w:val="32"/>
        </w:rPr>
      </w:pPr>
      <w:r>
        <w:rPr>
          <w:rStyle w:val="6"/>
          <w:rFonts w:ascii="黑体" w:hAnsi="黑体" w:eastAsia="黑体" w:cs="Times New Roman"/>
          <w:bCs/>
          <w:sz w:val="32"/>
          <w:szCs w:val="32"/>
        </w:rPr>
        <w:t>二、事业运行经费安排情况说明</w:t>
      </w:r>
    </w:p>
    <w:p>
      <w:pPr>
        <w:snapToGrid w:val="0"/>
        <w:spacing w:line="560" w:lineRule="exact"/>
        <w:ind w:firstLine="640" w:firstLineChars="200"/>
        <w:rPr>
          <w:rStyle w:val="6"/>
          <w:rFonts w:ascii="仿宋_GB2312" w:eastAsia="仿宋_GB2312"/>
          <w:sz w:val="32"/>
          <w:szCs w:val="32"/>
        </w:rPr>
      </w:pPr>
      <w:r>
        <w:rPr>
          <w:rStyle w:val="6"/>
          <w:rFonts w:ascii="仿宋_GB2312" w:eastAsia="仿宋_GB2312"/>
          <w:sz w:val="32"/>
          <w:szCs w:val="32"/>
        </w:rPr>
        <w:t>事业运转经费，是指所属事业单位的公用经费，包括办公及印刷费、邮电费、差旅费、会议费、福利费、日常维修费、专业材料及一般设备购置费、办公用房水电费、办公用房取暖费、办公用房物业管理费、公务用车运行维护费以及其他费用。</w:t>
      </w: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2021年我单位事业运转</w:t>
      </w:r>
      <w:r>
        <w:rPr>
          <w:rFonts w:hint="eastAsia" w:ascii="仿宋_GB2312" w:eastAsia="仿宋_GB2312"/>
          <w:color w:val="000000"/>
          <w:sz w:val="32"/>
          <w:szCs w:val="32"/>
        </w:rPr>
        <w:t>经费财政拨款</w:t>
      </w:r>
      <w:r>
        <w:rPr>
          <w:rFonts w:hint="eastAsia" w:ascii="仿宋_GB2312" w:eastAsia="仿宋_GB2312"/>
          <w:sz w:val="32"/>
          <w:szCs w:val="32"/>
        </w:rPr>
        <w:t>预算0</w:t>
      </w:r>
      <w:r>
        <w:rPr>
          <w:rFonts w:hint="eastAsia" w:ascii="仿宋_GB2312" w:eastAsia="仿宋_GB2312"/>
          <w:color w:val="000000"/>
          <w:sz w:val="32"/>
          <w:szCs w:val="32"/>
        </w:rPr>
        <w:t>万元，</w:t>
      </w:r>
      <w:r>
        <w:rPr>
          <w:rFonts w:hint="eastAsia" w:ascii="仿宋_GB2312" w:eastAsia="仿宋_GB2312"/>
          <w:sz w:val="32"/>
          <w:szCs w:val="32"/>
        </w:rPr>
        <w:t>其中：302商品和服务支出类：办公费0万元、印刷费0万元、咨询费0万元、手续费0万元、水费0万元、电费0万元、邮电费0万元、取暖费0万元、物业管理费0万元、差旅费0万元、因公出国（境） 费用0万元、维修（护）费0万元、租赁费0万元、会议费0万元、培训费0万元、公务接待费0万元、专用材料费0万元、被装购置费0万元、专用燃料费0万元、劳务费0万元、委托业务费0万元、工会经费0万元、福利费0万元、公务用车运行维护费0万元、其他交通费用0万元、税金及附加费用0万元、其他商品和服务支出0万元；310资本性支出类：房屋建筑物购建0万元、办公设备购置0万元、专用设备购置0万元、基础设施建设0万元、大型修缮0万元、信息网络及软件购置更新0万元、物资储备0万元、土地补偿0万元、安置补助0万元、地上附着物和青苗补偿0万元、拆迁补偿0万元、公务用车购置0万元、其他交通工具购置0万元、文物和陈列品购置0万元、无形资产购置0万元、其他资本性支出0万元。</w:t>
      </w:r>
    </w:p>
    <w:p>
      <w:pPr>
        <w:adjustRightInd w:val="0"/>
        <w:snapToGrid w:val="0"/>
        <w:spacing w:line="560" w:lineRule="exact"/>
        <w:ind w:firstLine="640" w:firstLineChars="200"/>
        <w:rPr>
          <w:rFonts w:ascii="仿宋_GB2312" w:hAnsi="黑体" w:eastAsia="仿宋_GB2312"/>
          <w:color w:val="000000"/>
          <w:sz w:val="32"/>
          <w:szCs w:val="32"/>
        </w:rPr>
      </w:pPr>
      <w:r>
        <w:rPr>
          <w:rFonts w:hint="eastAsia" w:ascii="仿宋_GB2312" w:eastAsia="仿宋_GB2312"/>
          <w:sz w:val="32"/>
          <w:szCs w:val="32"/>
        </w:rPr>
        <w:t>2021年事业运转</w:t>
      </w:r>
      <w:r>
        <w:rPr>
          <w:rFonts w:hint="eastAsia" w:ascii="仿宋_GB2312" w:eastAsia="仿宋_GB2312"/>
          <w:color w:val="000000"/>
          <w:sz w:val="32"/>
          <w:szCs w:val="32"/>
        </w:rPr>
        <w:t>经费比上年</w:t>
      </w:r>
      <w:r>
        <w:rPr>
          <w:rFonts w:hint="eastAsia" w:ascii="仿宋_GB2312" w:eastAsia="仿宋_GB2312"/>
          <w:sz w:val="32"/>
          <w:szCs w:val="32"/>
        </w:rPr>
        <w:t>增加0</w:t>
      </w:r>
      <w:r>
        <w:rPr>
          <w:rFonts w:hint="eastAsia" w:ascii="仿宋_GB2312" w:eastAsia="仿宋_GB2312"/>
          <w:color w:val="000000"/>
          <w:sz w:val="32"/>
          <w:szCs w:val="32"/>
        </w:rPr>
        <w:t>万元，</w:t>
      </w:r>
      <w:r>
        <w:rPr>
          <w:rFonts w:hint="eastAsia" w:ascii="仿宋_GB2312" w:eastAsia="仿宋_GB2312"/>
          <w:sz w:val="32"/>
          <w:szCs w:val="32"/>
        </w:rPr>
        <w:t>增长0%</w:t>
      </w:r>
      <w:r>
        <w:rPr>
          <w:rFonts w:hint="eastAsia" w:ascii="仿宋_GB2312" w:eastAsia="仿宋_GB2312"/>
          <w:color w:val="000000"/>
          <w:sz w:val="32"/>
          <w:szCs w:val="32"/>
        </w:rPr>
        <w:t>，</w:t>
      </w:r>
      <w:r>
        <w:rPr>
          <w:rFonts w:hint="eastAsia" w:ascii="仿宋_GB2312" w:eastAsia="仿宋_GB2312"/>
          <w:sz w:val="32"/>
          <w:szCs w:val="32"/>
        </w:rPr>
        <w:t>主要原因是：我单位是行政单位，不涉及此项支出。</w:t>
      </w:r>
    </w:p>
    <w:p>
      <w:pPr>
        <w:spacing w:line="560" w:lineRule="exact"/>
        <w:ind w:firstLine="627" w:firstLineChars="196"/>
        <w:rPr>
          <w:rFonts w:ascii="黑体" w:hAnsi="宋体" w:eastAsia="黑体"/>
          <w:bCs/>
          <w:sz w:val="32"/>
          <w:szCs w:val="32"/>
        </w:rPr>
      </w:pPr>
      <w:r>
        <w:rPr>
          <w:rFonts w:hint="eastAsia" w:ascii="黑体" w:hAnsi="宋体" w:eastAsia="黑体"/>
          <w:bCs/>
          <w:sz w:val="32"/>
          <w:szCs w:val="32"/>
        </w:rPr>
        <w:t>三、政府采购预算情况说明</w:t>
      </w:r>
    </w:p>
    <w:p>
      <w:pPr>
        <w:spacing w:line="560"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2021年政府采购预算0万元，采购金额为本级财政拨款，其中A货物类0万元、B工程类0万元、C服务类0万元。较上年增加0万元，增长0%，其中：</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1.A货物类预算0万元，占比0%，较上年增加0万元，增加0%，2021年预算我单位无此类政府采购预算支出。</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2.B工程类预算0万元，占比0%，较上年增加0万元，增加0%，2021年预算我单位无此类政府采购预算支出。</w:t>
      </w:r>
    </w:p>
    <w:p>
      <w:pPr>
        <w:spacing w:line="560" w:lineRule="exact"/>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3.C服务类预算0万元，占比0%，较上年增加0万元，增加0%，2021年预算我单位无此类政府采购预算支出。</w:t>
      </w:r>
    </w:p>
    <w:p>
      <w:pPr>
        <w:spacing w:line="560" w:lineRule="exact"/>
        <w:ind w:firstLine="627" w:firstLineChars="196"/>
        <w:rPr>
          <w:rFonts w:hint="eastAsia" w:ascii="仿宋_GB2312" w:hAnsi="仿宋_GB2312" w:eastAsia="仿宋_GB2312" w:cs="仿宋_GB2312"/>
          <w:sz w:val="32"/>
          <w:szCs w:val="32"/>
        </w:rPr>
      </w:pPr>
    </w:p>
    <w:p>
      <w:pPr>
        <w:spacing w:line="560" w:lineRule="exact"/>
        <w:ind w:firstLine="627" w:firstLineChars="196"/>
        <w:rPr>
          <w:rStyle w:val="6"/>
          <w:rFonts w:ascii="黑体" w:hAnsi="宋体" w:eastAsia="黑体" w:cs="Times New Roman"/>
          <w:bCs/>
          <w:sz w:val="32"/>
          <w:szCs w:val="32"/>
        </w:rPr>
      </w:pPr>
      <w:r>
        <w:rPr>
          <w:rStyle w:val="6"/>
          <w:rFonts w:ascii="黑体" w:hAnsi="宋体" w:eastAsia="黑体" w:cs="Times New Roman"/>
          <w:bCs/>
          <w:sz w:val="32"/>
          <w:szCs w:val="32"/>
        </w:rPr>
        <w:t>四、国有资产占有使用情况说明</w:t>
      </w:r>
    </w:p>
    <w:p>
      <w:pPr>
        <w:spacing w:line="560" w:lineRule="exact"/>
        <w:ind w:firstLine="627" w:firstLineChars="196"/>
        <w:rPr>
          <w:rStyle w:val="6"/>
          <w:rFonts w:ascii="仿宋_GB2312" w:hAnsi="宋体" w:eastAsia="仿宋_GB2312"/>
          <w:sz w:val="32"/>
          <w:szCs w:val="32"/>
        </w:rPr>
      </w:pPr>
      <w:r>
        <w:rPr>
          <w:rStyle w:val="6"/>
          <w:rFonts w:ascii="仿宋_GB2312" w:hAnsi="宋体" w:eastAsia="仿宋_GB2312"/>
          <w:sz w:val="32"/>
          <w:szCs w:val="32"/>
        </w:rPr>
        <w:t>1.2021年公务用车及大型设备情况：</w:t>
      </w:r>
    </w:p>
    <w:p>
      <w:pPr>
        <w:spacing w:line="560" w:lineRule="exact"/>
        <w:ind w:firstLine="627" w:firstLineChars="196"/>
        <w:rPr>
          <w:rFonts w:ascii="仿宋_GB2312" w:hAnsi="宋体" w:eastAsia="仿宋_GB2312"/>
          <w:sz w:val="32"/>
          <w:szCs w:val="32"/>
        </w:rPr>
      </w:pPr>
      <w:r>
        <w:rPr>
          <w:rStyle w:val="6"/>
          <w:rFonts w:ascii="仿宋_GB2312" w:eastAsia="仿宋_GB2312"/>
          <w:color w:val="000000"/>
          <w:sz w:val="32"/>
          <w:szCs w:val="32"/>
        </w:rPr>
        <w:t>截至2020年末，共有车辆5辆，</w:t>
      </w:r>
      <w:r>
        <w:rPr>
          <w:rStyle w:val="6"/>
          <w:rFonts w:ascii="仿宋_GB2312" w:hAnsi="宋体" w:eastAsia="仿宋_GB2312"/>
          <w:sz w:val="32"/>
          <w:szCs w:val="32"/>
        </w:rPr>
        <w:t>其中机要通信应急用车1辆、调研用车0辆、离退休干部用车0辆、一般执法执勤用车4辆、特种专业技术用车0辆。</w:t>
      </w:r>
      <w:r>
        <w:rPr>
          <w:rFonts w:hint="eastAsia" w:ascii="仿宋_GB2312" w:hAnsi="宋体" w:eastAsia="仿宋_GB2312"/>
          <w:sz w:val="32"/>
          <w:szCs w:val="32"/>
        </w:rPr>
        <w:t>较上年增加0辆，车辆没有变化。</w:t>
      </w:r>
    </w:p>
    <w:p>
      <w:pPr>
        <w:spacing w:line="560" w:lineRule="exact"/>
        <w:ind w:firstLine="627" w:firstLineChars="196"/>
        <w:rPr>
          <w:rFonts w:ascii="仿宋_GB2312" w:hAnsi="宋体" w:eastAsia="仿宋_GB2312"/>
          <w:sz w:val="32"/>
          <w:szCs w:val="32"/>
        </w:rPr>
      </w:pPr>
      <w:r>
        <w:rPr>
          <w:rFonts w:hint="eastAsia" w:ascii="仿宋_GB2312" w:hAnsi="宋体" w:eastAsia="仿宋_GB2312"/>
          <w:sz w:val="32"/>
          <w:szCs w:val="32"/>
        </w:rPr>
        <w:t>单位价值200万元以上大型设备0台（套）。</w:t>
      </w:r>
    </w:p>
    <w:p>
      <w:pPr>
        <w:spacing w:line="560" w:lineRule="exact"/>
        <w:ind w:firstLine="627" w:firstLineChars="196"/>
        <w:rPr>
          <w:rStyle w:val="6"/>
          <w:rFonts w:ascii="仿宋_GB2312" w:hAnsi="宋体" w:eastAsia="仿宋_GB2312"/>
          <w:sz w:val="32"/>
          <w:szCs w:val="32"/>
        </w:rPr>
      </w:pPr>
      <w:r>
        <w:rPr>
          <w:rStyle w:val="6"/>
          <w:rFonts w:ascii="仿宋_GB2312" w:hAnsi="宋体" w:eastAsia="仿宋_GB2312"/>
          <w:sz w:val="32"/>
          <w:szCs w:val="32"/>
        </w:rPr>
        <w:t>2.2021年房屋建筑物情况：</w:t>
      </w:r>
    </w:p>
    <w:p>
      <w:pPr>
        <w:spacing w:line="560" w:lineRule="exact"/>
        <w:ind w:firstLine="627" w:firstLineChars="196"/>
        <w:rPr>
          <w:rFonts w:ascii="仿宋_GB2312" w:hAnsi="宋体" w:eastAsia="仿宋_GB2312"/>
          <w:sz w:val="32"/>
          <w:szCs w:val="32"/>
        </w:rPr>
      </w:pPr>
      <w:r>
        <w:rPr>
          <w:rStyle w:val="6"/>
          <w:rFonts w:ascii="仿宋_GB2312" w:hAnsi="宋体" w:eastAsia="仿宋_GB2312"/>
          <w:sz w:val="32"/>
          <w:szCs w:val="32"/>
        </w:rPr>
        <w:t>房屋建筑面积3699.43平方米，其中办公用房0平方米、业务用房3699.43平方米、其他用房0平方米，</w:t>
      </w:r>
      <w:r>
        <w:rPr>
          <w:rFonts w:hint="eastAsia" w:ascii="仿宋_GB2312" w:hAnsi="宋体" w:eastAsia="仿宋_GB2312"/>
          <w:sz w:val="32"/>
          <w:szCs w:val="32"/>
        </w:rPr>
        <w:t>较上年增加0平方米。2021年办公用房无变动。</w:t>
      </w:r>
    </w:p>
    <w:p>
      <w:pPr>
        <w:spacing w:line="560" w:lineRule="exact"/>
        <w:ind w:firstLine="627" w:firstLineChars="196"/>
        <w:rPr>
          <w:rStyle w:val="6"/>
          <w:rFonts w:ascii="黑体" w:hAnsi="黑体" w:eastAsia="黑体" w:cs="Times New Roman"/>
          <w:bCs/>
          <w:sz w:val="32"/>
          <w:szCs w:val="32"/>
        </w:rPr>
      </w:pPr>
      <w:r>
        <w:rPr>
          <w:rStyle w:val="6"/>
          <w:rFonts w:ascii="黑体" w:hAnsi="黑体" w:eastAsia="黑体" w:cs="Times New Roman"/>
          <w:bCs/>
          <w:sz w:val="32"/>
          <w:szCs w:val="32"/>
        </w:rPr>
        <w:t>五、2021年度项目支出绩效目标情况说明</w:t>
      </w:r>
    </w:p>
    <w:p>
      <w:pPr>
        <w:ind w:firstLine="640" w:firstLineChars="200"/>
        <w:rPr>
          <w:rStyle w:val="6"/>
          <w:rFonts w:ascii="仿宋_GB2312" w:hAnsi="仿宋_GB2312" w:eastAsia="仿宋_GB2312"/>
          <w:sz w:val="32"/>
          <w:szCs w:val="32"/>
        </w:rPr>
      </w:pPr>
      <w:r>
        <w:rPr>
          <w:rStyle w:val="6"/>
          <w:rFonts w:ascii="仿宋_GB2312" w:hAnsi="仿宋_GB2312" w:eastAsia="仿宋_GB2312"/>
          <w:sz w:val="32"/>
          <w:szCs w:val="32"/>
        </w:rPr>
        <w:t>2021年填报绩效目标的预算项目0个，公开绩效目标0个，公开项目占全部预算项目的0%。公开填报绩效目标的项目支出预算0万元，占全部项目支出预算的0%。</w:t>
      </w:r>
    </w:p>
    <w:p>
      <w:pPr>
        <w:spacing w:line="560" w:lineRule="exact"/>
        <w:ind w:firstLine="705" w:firstLineChars="196"/>
        <w:jc w:val="center"/>
        <w:rPr>
          <w:rStyle w:val="6"/>
          <w:rFonts w:ascii="黑体" w:hAnsi="黑体" w:eastAsia="黑体" w:cs="Times New Roman"/>
          <w:bCs/>
          <w:sz w:val="36"/>
          <w:szCs w:val="36"/>
        </w:rPr>
      </w:pPr>
      <w:r>
        <w:rPr>
          <w:rStyle w:val="6"/>
          <w:rFonts w:ascii="黑体" w:hAnsi="黑体" w:eastAsia="黑体" w:cs="Times New Roman"/>
          <w:bCs/>
          <w:sz w:val="36"/>
          <w:szCs w:val="36"/>
        </w:rPr>
        <w:t>第四部分   名词解释</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一、一般公共预算财政拨款收入</w:t>
      </w:r>
      <w:r>
        <w:rPr>
          <w:rStyle w:val="6"/>
          <w:rFonts w:ascii="仿宋_GB2312" w:hAnsi="仿宋_GB2312" w:eastAsia="仿宋_GB2312"/>
          <w:sz w:val="32"/>
          <w:szCs w:val="32"/>
        </w:rPr>
        <w:t>：指各单位从各级财政部门取得的财政预算资金。</w:t>
      </w:r>
    </w:p>
    <w:p>
      <w:pPr>
        <w:snapToGrid w:val="0"/>
        <w:spacing w:line="560" w:lineRule="exact"/>
        <w:ind w:firstLine="643" w:firstLineChars="200"/>
        <w:rPr>
          <w:rStyle w:val="6"/>
          <w:rFonts w:ascii="仿宋_GB2312" w:hAnsi="仿宋_GB2312" w:eastAsia="仿宋_GB2312"/>
          <w:color w:val="000000"/>
          <w:sz w:val="32"/>
          <w:szCs w:val="32"/>
        </w:rPr>
      </w:pPr>
      <w:r>
        <w:rPr>
          <w:rStyle w:val="6"/>
          <w:rFonts w:ascii="仿宋_GB2312" w:hAnsi="仿宋_GB2312" w:eastAsia="仿宋_GB2312"/>
          <w:b/>
          <w:color w:val="000000"/>
          <w:sz w:val="32"/>
          <w:szCs w:val="32"/>
        </w:rPr>
        <w:t>二、事业收入</w:t>
      </w:r>
      <w:r>
        <w:rPr>
          <w:rStyle w:val="6"/>
          <w:rFonts w:ascii="仿宋_GB2312" w:hAnsi="仿宋_GB2312" w:eastAsia="仿宋_GB2312"/>
          <w:color w:val="000000"/>
          <w:sz w:val="32"/>
          <w:szCs w:val="32"/>
        </w:rPr>
        <w:t>：是指事业单位开展专业业务活动及辅助活动所取得的收入。</w:t>
      </w:r>
    </w:p>
    <w:p>
      <w:pPr>
        <w:snapToGrid w:val="0"/>
        <w:spacing w:line="560" w:lineRule="exact"/>
        <w:ind w:firstLine="803" w:firstLineChars="250"/>
        <w:rPr>
          <w:rStyle w:val="6"/>
          <w:rFonts w:ascii="仿宋_GB2312" w:hAnsi="仿宋_GB2312" w:eastAsia="仿宋_GB2312"/>
          <w:color w:val="000000"/>
          <w:sz w:val="32"/>
          <w:szCs w:val="32"/>
        </w:rPr>
      </w:pPr>
      <w:r>
        <w:rPr>
          <w:rStyle w:val="6"/>
          <w:rFonts w:ascii="仿宋_GB2312" w:hAnsi="仿宋_GB2312" w:eastAsia="仿宋_GB2312"/>
          <w:b/>
          <w:color w:val="000000"/>
          <w:sz w:val="32"/>
          <w:szCs w:val="32"/>
        </w:rPr>
        <w:t>三、事业单位经营收入</w:t>
      </w:r>
      <w:r>
        <w:rPr>
          <w:rStyle w:val="6"/>
          <w:rFonts w:ascii="仿宋_GB2312" w:hAnsi="仿宋_GB2312" w:eastAsia="仿宋_GB2312"/>
          <w:color w:val="000000"/>
          <w:sz w:val="32"/>
          <w:szCs w:val="32"/>
        </w:rPr>
        <w:t>：是指事业单位在专业业务活动及其辅助活动之外开展非独立核算经营活动取得的收入。</w:t>
      </w:r>
    </w:p>
    <w:p>
      <w:pPr>
        <w:snapToGrid w:val="0"/>
        <w:spacing w:line="560" w:lineRule="exact"/>
        <w:ind w:firstLine="643" w:firstLineChars="200"/>
        <w:rPr>
          <w:rStyle w:val="6"/>
          <w:rFonts w:ascii="仿宋_GB2312" w:hAnsi="仿宋_GB2312" w:eastAsia="仿宋_GB2312"/>
          <w:color w:val="000000"/>
          <w:sz w:val="32"/>
          <w:szCs w:val="32"/>
        </w:rPr>
      </w:pPr>
      <w:r>
        <w:rPr>
          <w:rStyle w:val="6"/>
          <w:rFonts w:ascii="仿宋_GB2312" w:hAnsi="仿宋_GB2312" w:eastAsia="仿宋_GB2312"/>
          <w:b/>
          <w:color w:val="000000"/>
          <w:sz w:val="32"/>
          <w:szCs w:val="32"/>
        </w:rPr>
        <w:t>四、其他收入</w:t>
      </w:r>
      <w:r>
        <w:rPr>
          <w:rStyle w:val="6"/>
          <w:rFonts w:ascii="仿宋_GB2312" w:hAnsi="仿宋_GB2312" w:eastAsia="仿宋_GB2312"/>
          <w:color w:val="000000"/>
          <w:sz w:val="32"/>
          <w:szCs w:val="32"/>
        </w:rPr>
        <w:t xml:space="preserve"> ：是指除上述“一般公共预算财政拨款收入”、“事业收入”、“事业单位经营收入”等以外的收入。主要是指按规定动用的售房收入、存款利息收入等。</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color w:val="000000"/>
          <w:sz w:val="32"/>
          <w:szCs w:val="32"/>
        </w:rPr>
        <w:t>五、上年结转和结余</w:t>
      </w:r>
      <w:r>
        <w:rPr>
          <w:rStyle w:val="6"/>
          <w:rFonts w:ascii="仿宋_GB2312" w:hAnsi="仿宋_GB2312" w:eastAsia="仿宋_GB2312"/>
          <w:color w:val="000000"/>
          <w:sz w:val="32"/>
          <w:szCs w:val="32"/>
        </w:rPr>
        <w:t>：是指以前年度尚未完成、结转到本年仍按原规定用途继续使用的资金</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六、基本支出</w:t>
      </w:r>
      <w:r>
        <w:rPr>
          <w:rStyle w:val="6"/>
          <w:rFonts w:ascii="仿宋_GB2312" w:hAnsi="仿宋_GB2312" w:eastAsia="仿宋_GB2312"/>
          <w:sz w:val="32"/>
          <w:szCs w:val="32"/>
        </w:rPr>
        <w:t>：指各单位为保障机构正常运转和完成日常工作任务发生的支出，包括人员支出和公用支出。</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七、项目支出</w:t>
      </w:r>
      <w:r>
        <w:rPr>
          <w:rStyle w:val="6"/>
          <w:rFonts w:ascii="仿宋_GB2312" w:hAnsi="仿宋_GB2312" w:eastAsia="仿宋_GB2312"/>
          <w:sz w:val="32"/>
          <w:szCs w:val="32"/>
        </w:rPr>
        <w:t>：指各单位为完成特定的工作任务，在基本支出之外发生的专项性支出。</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八、工资福利支出（支出经济分类科目类级）</w:t>
      </w:r>
      <w:r>
        <w:rPr>
          <w:rStyle w:val="6"/>
          <w:rFonts w:ascii="仿宋_GB2312" w:hAnsi="仿宋_GB2312" w:eastAsia="仿宋_GB2312"/>
          <w:sz w:val="32"/>
          <w:szCs w:val="32"/>
        </w:rPr>
        <w:t>：反映单位开支的在职职工和编制外长期聘用人员的各类劳动报酬，经及上述人员缴纳的各项社会保险费等。</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九、商品和服务支出（支出经济分类科目类级）</w:t>
      </w:r>
      <w:r>
        <w:rPr>
          <w:rStyle w:val="6"/>
          <w:rFonts w:ascii="仿宋_GB2312" w:hAnsi="仿宋_GB2312" w:eastAsia="仿宋_GB2312"/>
          <w:sz w:val="32"/>
          <w:szCs w:val="32"/>
        </w:rPr>
        <w:t>：反映单位购买商品和服务的支出（不包括用于购置固定资产的支出、战略性和应急储备支出）。</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十、对个人和家庭的补助（支出经济分类科目类级）：</w:t>
      </w:r>
      <w:r>
        <w:rPr>
          <w:rStyle w:val="6"/>
          <w:rFonts w:ascii="仿宋_GB2312" w:hAnsi="仿宋_GB2312" w:eastAsia="仿宋_GB2312"/>
          <w:sz w:val="32"/>
          <w:szCs w:val="32"/>
        </w:rPr>
        <w:t>反映政府用于对个人和家庭的补助支出。</w:t>
      </w:r>
    </w:p>
    <w:p>
      <w:pPr>
        <w:spacing w:line="560" w:lineRule="exact"/>
        <w:ind w:firstLine="630" w:firstLineChars="196"/>
        <w:rPr>
          <w:rStyle w:val="6"/>
          <w:rFonts w:ascii="仿宋_GB2312" w:hAnsi="仿宋_GB2312" w:eastAsia="仿宋_GB2312"/>
          <w:sz w:val="32"/>
          <w:szCs w:val="32"/>
        </w:rPr>
      </w:pPr>
      <w:r>
        <w:rPr>
          <w:rStyle w:val="6"/>
          <w:rFonts w:ascii="仿宋_GB2312" w:hAnsi="仿宋_GB2312" w:eastAsia="仿宋_GB2312"/>
          <w:b/>
          <w:sz w:val="32"/>
          <w:szCs w:val="32"/>
        </w:rPr>
        <w:t>十一、“三公”经费</w:t>
      </w:r>
      <w:r>
        <w:rPr>
          <w:rStyle w:val="6"/>
          <w:rFonts w:ascii="仿宋_GB2312" w:hAnsi="仿宋_GB2312" w:eastAsia="仿宋_GB2312"/>
          <w:sz w:val="32"/>
          <w:szCs w:val="32"/>
        </w:rPr>
        <w:t>：指因公出国（境）经费、公务接待费、公务用车购置及运行经费和公务接待费。其中：公务用车购置及运行经费指部门公务用车购置费及燃料费、维修费、过路过桥费、保险费、安全奖励费用等支出；公务接待费指部门按规定开支的各类公务接待支出。</w:t>
      </w:r>
    </w:p>
    <w:p>
      <w:pPr>
        <w:snapToGrid w:val="0"/>
        <w:spacing w:line="560" w:lineRule="exact"/>
        <w:ind w:firstLine="643" w:firstLineChars="200"/>
        <w:rPr>
          <w:rStyle w:val="6"/>
          <w:rFonts w:ascii="仿宋_GB2312" w:hAnsi="仿宋_GB2312" w:eastAsia="仿宋_GB2312"/>
          <w:sz w:val="32"/>
          <w:szCs w:val="32"/>
        </w:rPr>
      </w:pPr>
      <w:r>
        <w:rPr>
          <w:rStyle w:val="6"/>
          <w:rFonts w:ascii="仿宋_GB2312" w:hAnsi="仿宋_GB2312" w:eastAsia="仿宋_GB2312"/>
          <w:b/>
          <w:sz w:val="32"/>
          <w:szCs w:val="32"/>
        </w:rPr>
        <w:t>十二、机关运行经费</w:t>
      </w:r>
      <w:r>
        <w:rPr>
          <w:rStyle w:val="6"/>
          <w:rFonts w:ascii="仿宋_GB2312" w:hAns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snapToGrid w:val="0"/>
        <w:spacing w:line="560" w:lineRule="exact"/>
        <w:ind w:firstLine="643" w:firstLineChars="200"/>
        <w:rPr>
          <w:rStyle w:val="6"/>
          <w:rFonts w:ascii="仿宋_GB2312" w:hAnsi="仿宋_GB2312" w:eastAsia="仿宋_GB2312"/>
          <w:sz w:val="32"/>
          <w:szCs w:val="32"/>
        </w:rPr>
      </w:pPr>
      <w:r>
        <w:rPr>
          <w:rStyle w:val="6"/>
          <w:rFonts w:ascii="仿宋_GB2312" w:hAnsi="仿宋_GB2312" w:eastAsia="仿宋_GB2312"/>
          <w:b/>
          <w:sz w:val="32"/>
          <w:szCs w:val="32"/>
        </w:rPr>
        <w:t>十三、事业运转经费</w:t>
      </w:r>
      <w:r>
        <w:rPr>
          <w:rStyle w:val="6"/>
          <w:rFonts w:ascii="仿宋_GB2312" w:hAnsi="仿宋_GB2312" w:eastAsia="仿宋_GB2312"/>
          <w:sz w:val="32"/>
          <w:szCs w:val="32"/>
        </w:rPr>
        <w:t>：是指为保障事业单位（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spacing w:line="560" w:lineRule="exact"/>
        <w:ind w:firstLine="705" w:firstLineChars="196"/>
        <w:jc w:val="center"/>
        <w:rPr>
          <w:rStyle w:val="6"/>
          <w:rFonts w:ascii="黑体" w:hAnsi="黑体" w:eastAsia="黑体"/>
          <w:sz w:val="36"/>
          <w:szCs w:val="36"/>
        </w:rPr>
      </w:pPr>
      <w:r>
        <w:rPr>
          <w:rStyle w:val="6"/>
          <w:rFonts w:ascii="黑体" w:hAnsi="黑体" w:eastAsia="黑体"/>
          <w:sz w:val="36"/>
          <w:szCs w:val="36"/>
        </w:rPr>
        <w:t>第五部分   预算公开联系方式及信息反馈渠道</w:t>
      </w:r>
    </w:p>
    <w:p>
      <w:pPr>
        <w:spacing w:line="560" w:lineRule="exact"/>
        <w:ind w:firstLine="627" w:firstLineChars="196"/>
        <w:rPr>
          <w:rStyle w:val="6"/>
          <w:rFonts w:ascii="仿宋_GB2312" w:hAnsi="宋体" w:eastAsia="仿宋_GB2312"/>
          <w:sz w:val="32"/>
          <w:szCs w:val="32"/>
        </w:rPr>
      </w:pPr>
      <w:r>
        <w:rPr>
          <w:rStyle w:val="6"/>
          <w:rFonts w:ascii="仿宋_GB2312" w:hAnsi="宋体" w:eastAsia="仿宋_GB2312"/>
          <w:sz w:val="32"/>
          <w:szCs w:val="32"/>
        </w:rPr>
        <w:t>本单位预算公开信息反馈和联系方式：</w:t>
      </w:r>
    </w:p>
    <w:p>
      <w:pPr>
        <w:spacing w:line="560" w:lineRule="exact"/>
        <w:ind w:firstLine="627" w:firstLineChars="196"/>
        <w:rPr>
          <w:rStyle w:val="6"/>
          <w:rFonts w:ascii="仿宋_GB2312" w:hAnsi="宋体" w:eastAsia="仿宋_GB2312"/>
          <w:sz w:val="32"/>
          <w:szCs w:val="32"/>
        </w:rPr>
      </w:pPr>
      <w:r>
        <w:rPr>
          <w:rStyle w:val="6"/>
          <w:rFonts w:ascii="仿宋_GB2312" w:hAnsi="宋体" w:eastAsia="仿宋_GB2312"/>
          <w:sz w:val="32"/>
          <w:szCs w:val="32"/>
        </w:rPr>
        <w:t>联系人：张志红   联系电话：18547002766</w:t>
      </w:r>
    </w:p>
    <w:p>
      <w:pPr>
        <w:spacing w:line="560" w:lineRule="exact"/>
        <w:ind w:firstLine="705" w:firstLineChars="196"/>
        <w:rPr>
          <w:rStyle w:val="6"/>
          <w:rFonts w:ascii="黑体" w:hAnsi="黑体" w:eastAsia="黑体"/>
          <w:sz w:val="32"/>
          <w:szCs w:val="32"/>
        </w:rPr>
      </w:pPr>
      <w:r>
        <w:rPr>
          <w:rStyle w:val="6"/>
          <w:rFonts w:ascii="黑体" w:hAnsi="黑体" w:eastAsia="黑体"/>
          <w:sz w:val="36"/>
          <w:szCs w:val="36"/>
        </w:rPr>
        <w:t>第六部分   部门预算公开表</w:t>
      </w:r>
    </w:p>
    <w:p>
      <w:pPr>
        <w:spacing w:line="560" w:lineRule="exact"/>
        <w:ind w:firstLine="627" w:firstLineChars="196"/>
        <w:rPr>
          <w:rStyle w:val="6"/>
          <w:rFonts w:ascii="黑体" w:hAnsi="黑体" w:eastAsia="黑体"/>
          <w:sz w:val="32"/>
          <w:szCs w:val="32"/>
        </w:rPr>
      </w:pPr>
      <w:r>
        <w:rPr>
          <w:rStyle w:val="6"/>
          <w:rFonts w:ascii="黑体" w:hAnsi="黑体" w:eastAsia="黑体"/>
          <w:sz w:val="32"/>
          <w:szCs w:val="32"/>
        </w:rPr>
        <w:t>附表：</w:t>
      </w:r>
    </w:p>
    <w:p>
      <w:pPr>
        <w:spacing w:line="560" w:lineRule="exact"/>
        <w:ind w:firstLine="627" w:firstLineChars="196"/>
        <w:rPr>
          <w:rStyle w:val="6"/>
          <w:rFonts w:ascii="仿宋_GB2312" w:hAnsi="仿宋_GB2312" w:eastAsia="仿宋_GB2312"/>
          <w:sz w:val="32"/>
          <w:szCs w:val="32"/>
        </w:rPr>
      </w:pPr>
      <w:r>
        <w:rPr>
          <w:rStyle w:val="6"/>
          <w:rFonts w:ascii="仿宋_GB2312" w:hAnsi="仿宋_GB2312" w:eastAsia="仿宋_GB2312"/>
          <w:sz w:val="32"/>
          <w:szCs w:val="32"/>
        </w:rPr>
        <w:t>1.部门预算公开表</w:t>
      </w:r>
    </w:p>
    <w:p>
      <w:pPr>
        <w:spacing w:line="560" w:lineRule="exact"/>
        <w:ind w:firstLine="640" w:firstLineChars="200"/>
        <w:rPr>
          <w:rStyle w:val="6"/>
          <w:rFonts w:ascii="仿宋_GB2312" w:hAnsi="仿宋_GB2312" w:eastAsia="仿宋_GB2312"/>
          <w:sz w:val="32"/>
          <w:szCs w:val="32"/>
        </w:rPr>
      </w:pPr>
      <w:r>
        <w:rPr>
          <w:rStyle w:val="6"/>
          <w:rFonts w:ascii="仿宋_GB2312" w:hAnsi="仿宋_GB2312" w:eastAsia="仿宋_GB2312"/>
          <w:sz w:val="32"/>
          <w:szCs w:val="32"/>
        </w:rPr>
        <w:t>2.</w:t>
      </w:r>
      <w:r>
        <w:rPr>
          <w:rStyle w:val="6"/>
          <w:rFonts w:ascii="仿宋_GB2312" w:hAnsi="仿宋_GB2312" w:eastAsia="仿宋_GB2312"/>
          <w:color w:val="000000"/>
          <w:sz w:val="32"/>
          <w:szCs w:val="32"/>
        </w:rPr>
        <w:t>项目预算绩效目标申报表</w:t>
      </w:r>
    </w:p>
    <w:p>
      <w:pPr>
        <w:spacing w:line="560" w:lineRule="exact"/>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p>
    <w:p>
      <w:pPr>
        <w:spacing w:line="560" w:lineRule="exact"/>
        <w:ind w:firstLine="3840" w:firstLineChars="1200"/>
        <w:rPr>
          <w:rStyle w:val="6"/>
          <w:rFonts w:ascii="仿宋_GB2312" w:hAnsi="仿宋_GB2312" w:eastAsia="仿宋_GB2312"/>
          <w:sz w:val="32"/>
          <w:szCs w:val="32"/>
        </w:rPr>
      </w:pPr>
      <w:r>
        <w:rPr>
          <w:rStyle w:val="6"/>
          <w:rFonts w:ascii="仿宋_GB2312" w:hAnsi="仿宋_GB2312" w:eastAsia="仿宋_GB2312"/>
          <w:sz w:val="32"/>
          <w:szCs w:val="32"/>
        </w:rPr>
        <w:t>鄂温克族自治旗环境保护分局</w:t>
      </w:r>
    </w:p>
    <w:p>
      <w:pPr>
        <w:spacing w:line="560" w:lineRule="exact"/>
        <w:ind w:firstLine="4640" w:firstLineChars="1450"/>
        <w:rPr>
          <w:rStyle w:val="6"/>
          <w:rFonts w:ascii="仿宋_GB2312" w:hAnsi="仿宋_GB2312" w:eastAsia="仿宋_GB2312"/>
          <w:sz w:val="32"/>
          <w:szCs w:val="32"/>
        </w:rPr>
      </w:pPr>
      <w:r>
        <w:rPr>
          <w:rStyle w:val="6"/>
          <w:rFonts w:ascii="仿宋_GB2312" w:hAnsi="仿宋_GB2312" w:eastAsia="仿宋_GB2312"/>
          <w:sz w:val="32"/>
          <w:szCs w:val="32"/>
        </w:rPr>
        <w:t>2021年3月12日</w:t>
      </w: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方正小标宋简体">
    <w:altName w:val="黑体"/>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margin" w:hAnchor="text" w:xAlign="center" w:y="1"/>
      <w:rPr>
        <w:rStyle w:val="8"/>
      </w:rPr>
    </w:pPr>
  </w:p>
  <w:p>
    <w:pPr>
      <w:pStyle w:val="2"/>
      <w:rPr>
        <w:rStyle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margin" w:hAnchor="text" w:xAlign="center" w:y="1"/>
      <w:rPr>
        <w:rStyle w:val="8"/>
      </w:rPr>
    </w:pPr>
  </w:p>
  <w:p>
    <w:pPr>
      <w:pStyle w:val="2"/>
      <w:rPr>
        <w:rStyle w:val="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782395"/>
    <w:multiLevelType w:val="multilevel"/>
    <w:tmpl w:val="67782395"/>
    <w:lvl w:ilvl="0" w:tentative="0">
      <w:start w:val="1"/>
      <w:numFmt w:val="japaneseCounting"/>
      <w:pStyle w:val="14"/>
      <w:lvlText w:val="%1、"/>
      <w:lvlJc w:val="left"/>
      <w:pPr>
        <w:widowControl/>
        <w:ind w:left="720" w:hanging="720"/>
        <w:textAlignment w:val="baseline"/>
      </w:pPr>
    </w:lvl>
    <w:lvl w:ilvl="1" w:tentative="0">
      <w:start w:val="1"/>
      <w:numFmt w:val="decimal"/>
      <w:lvlText w:val="%1、"/>
      <w:lvlJc w:val="left"/>
      <w:pPr>
        <w:widowControl/>
        <w:ind w:left="1140" w:hanging="720"/>
        <w:textAlignment w:val="baseline"/>
      </w:pPr>
    </w:lvl>
    <w:lvl w:ilvl="2" w:tentative="0">
      <w:start w:val="1"/>
      <w:numFmt w:val="lowerRoman"/>
      <w:lvlText w:val="%1."/>
      <w:lvlJc w:val="right"/>
      <w:pPr>
        <w:widowControl/>
        <w:ind w:left="1260" w:hanging="420"/>
        <w:textAlignment w:val="baseline"/>
      </w:pPr>
    </w:lvl>
    <w:lvl w:ilvl="3" w:tentative="0">
      <w:start w:val="1"/>
      <w:numFmt w:val="decimal"/>
      <w:lvlText w:val="%1."/>
      <w:lvlJc w:val="left"/>
      <w:pPr>
        <w:widowControl/>
        <w:ind w:left="1680" w:hanging="420"/>
        <w:textAlignment w:val="baseline"/>
      </w:pPr>
    </w:lvl>
    <w:lvl w:ilvl="4" w:tentative="0">
      <w:start w:val="1"/>
      <w:numFmt w:val="lowerLetter"/>
      <w:lvlText w:val="%1)"/>
      <w:lvlJc w:val="left"/>
      <w:pPr>
        <w:widowControl/>
        <w:ind w:left="2100" w:hanging="420"/>
        <w:textAlignment w:val="baseline"/>
      </w:pPr>
    </w:lvl>
    <w:lvl w:ilvl="5" w:tentative="0">
      <w:start w:val="1"/>
      <w:numFmt w:val="lowerRoman"/>
      <w:lvlText w:val="%1."/>
      <w:lvlJc w:val="right"/>
      <w:pPr>
        <w:widowControl/>
        <w:ind w:left="2520" w:hanging="420"/>
        <w:textAlignment w:val="baseline"/>
      </w:pPr>
    </w:lvl>
    <w:lvl w:ilvl="6" w:tentative="0">
      <w:start w:val="1"/>
      <w:numFmt w:val="decimal"/>
      <w:lvlText w:val="%1."/>
      <w:lvlJc w:val="left"/>
      <w:pPr>
        <w:widowControl/>
        <w:ind w:left="2940" w:hanging="420"/>
        <w:textAlignment w:val="baseline"/>
      </w:pPr>
    </w:lvl>
    <w:lvl w:ilvl="7" w:tentative="0">
      <w:start w:val="1"/>
      <w:numFmt w:val="lowerLetter"/>
      <w:lvlText w:val="%1)"/>
      <w:lvlJc w:val="left"/>
      <w:pPr>
        <w:widowControl/>
        <w:ind w:left="3360" w:hanging="420"/>
        <w:textAlignment w:val="baseline"/>
      </w:pPr>
    </w:lvl>
    <w:lvl w:ilvl="8" w:tentative="0">
      <w:start w:val="1"/>
      <w:numFmt w:val="lowerRoman"/>
      <w:lvlText w:val="%1."/>
      <w:lvlJc w:val="right"/>
      <w:pPr>
        <w:widowControl/>
        <w:ind w:left="3780" w:hanging="420"/>
        <w:textAlignment w:val="baseline"/>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isplayHorizontalDrawingGridEvery w:val="0"/>
  <w:displayVerticalDrawingGridEvery w:val="2"/>
  <w:doNotUseMarginsForDrawingGridOrigin w:val="1"/>
  <w:drawingGridHorizontalOrigin w:val="1800"/>
  <w:drawingGridVerticalOrigin w:val="1440"/>
  <w:noPunctuationKerning w:val="1"/>
  <w:characterSpacingControl w:val="doNotCompress"/>
  <w:compat>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rsids>
    <w:rsidRoot w:val="00AB5CE1"/>
    <w:rsid w:val="000A39BB"/>
    <w:rsid w:val="000B4F08"/>
    <w:rsid w:val="001A2DB9"/>
    <w:rsid w:val="001D4616"/>
    <w:rsid w:val="00230ADD"/>
    <w:rsid w:val="005228C2"/>
    <w:rsid w:val="00585EBB"/>
    <w:rsid w:val="00610099"/>
    <w:rsid w:val="007663CA"/>
    <w:rsid w:val="007A7735"/>
    <w:rsid w:val="008B6F13"/>
    <w:rsid w:val="00903A9A"/>
    <w:rsid w:val="0096457A"/>
    <w:rsid w:val="00985D08"/>
    <w:rsid w:val="00A07434"/>
    <w:rsid w:val="00AB5CE1"/>
    <w:rsid w:val="00D85DD4"/>
    <w:rsid w:val="00DC5E5F"/>
    <w:rsid w:val="00E15ABC"/>
    <w:rsid w:val="00E65D40"/>
    <w:rsid w:val="00EB305C"/>
    <w:rsid w:val="00F30AFE"/>
    <w:rsid w:val="00F619E1"/>
    <w:rsid w:val="06011F57"/>
    <w:rsid w:val="115842D1"/>
    <w:rsid w:val="125810E9"/>
    <w:rsid w:val="12B7236C"/>
    <w:rsid w:val="15C873A3"/>
    <w:rsid w:val="1F3530D5"/>
    <w:rsid w:val="2B1B0D63"/>
    <w:rsid w:val="2C8D7F71"/>
    <w:rsid w:val="2CCA32F3"/>
    <w:rsid w:val="2D6355D0"/>
    <w:rsid w:val="2EBD2A37"/>
    <w:rsid w:val="2F2176D8"/>
    <w:rsid w:val="31AB5C9C"/>
    <w:rsid w:val="36CE7569"/>
    <w:rsid w:val="38546103"/>
    <w:rsid w:val="41165810"/>
    <w:rsid w:val="41D36EF6"/>
    <w:rsid w:val="436C35B3"/>
    <w:rsid w:val="444C646F"/>
    <w:rsid w:val="466D65CC"/>
    <w:rsid w:val="498C2AAB"/>
    <w:rsid w:val="58F37BDC"/>
    <w:rsid w:val="5CBD2C8C"/>
    <w:rsid w:val="69AD7D74"/>
    <w:rsid w:val="6AB92F55"/>
    <w:rsid w:val="6CA61A10"/>
    <w:rsid w:val="6FD02498"/>
    <w:rsid w:val="711134F4"/>
    <w:rsid w:val="71525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heme="minorBidi"/>
      <w:kern w:val="2"/>
      <w:sz w:val="21"/>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napToGrid w:val="0"/>
    </w:pPr>
    <w:rPr>
      <w:sz w:val="18"/>
    </w:rPr>
  </w:style>
  <w:style w:type="character" w:customStyle="1" w:styleId="6">
    <w:name w:val="NormalCharacter"/>
    <w:qFormat/>
    <w:uiPriority w:val="0"/>
  </w:style>
  <w:style w:type="table" w:customStyle="1" w:styleId="7">
    <w:name w:val="TableNormal"/>
    <w:semiHidden/>
    <w:qFormat/>
    <w:uiPriority w:val="0"/>
    <w:tblPr>
      <w:tblCellMar>
        <w:top w:w="0" w:type="dxa"/>
        <w:left w:w="0" w:type="dxa"/>
        <w:bottom w:w="0" w:type="dxa"/>
        <w:right w:w="0" w:type="dxa"/>
      </w:tblCellMar>
    </w:tblPr>
  </w:style>
  <w:style w:type="character" w:customStyle="1" w:styleId="8">
    <w:name w:val="PageNumber"/>
    <w:basedOn w:val="6"/>
    <w:qFormat/>
    <w:uiPriority w:val="0"/>
  </w:style>
  <w:style w:type="character" w:customStyle="1" w:styleId="9">
    <w:name w:val="UserStyle_0"/>
    <w:link w:val="10"/>
    <w:qFormat/>
    <w:uiPriority w:val="0"/>
    <w:rPr>
      <w:kern w:val="2"/>
      <w:sz w:val="18"/>
      <w:szCs w:val="18"/>
    </w:rPr>
  </w:style>
  <w:style w:type="paragraph" w:customStyle="1" w:styleId="10">
    <w:name w:val="Acetate"/>
    <w:basedOn w:val="1"/>
    <w:link w:val="9"/>
    <w:qFormat/>
    <w:uiPriority w:val="0"/>
    <w:rPr>
      <w:sz w:val="18"/>
      <w:szCs w:val="18"/>
    </w:rPr>
  </w:style>
  <w:style w:type="paragraph" w:customStyle="1" w:styleId="11">
    <w:name w:val="NavPane"/>
    <w:basedOn w:val="1"/>
    <w:semiHidden/>
    <w:qFormat/>
    <w:uiPriority w:val="0"/>
    <w:pPr>
      <w:shd w:val="clear" w:color="auto" w:fill="000080"/>
    </w:pPr>
  </w:style>
  <w:style w:type="paragraph" w:customStyle="1" w:styleId="12">
    <w:name w:val="UserStyle_1"/>
    <w:basedOn w:val="1"/>
    <w:qFormat/>
    <w:uiPriority w:val="0"/>
    <w:pPr>
      <w:spacing w:after="160" w:line="240" w:lineRule="exact"/>
      <w:jc w:val="left"/>
    </w:pPr>
    <w:rPr>
      <w:szCs w:val="24"/>
    </w:rPr>
  </w:style>
  <w:style w:type="paragraph" w:customStyle="1" w:styleId="13">
    <w:name w:val="UserStyle_2"/>
    <w:basedOn w:val="1"/>
    <w:qFormat/>
    <w:uiPriority w:val="0"/>
    <w:pPr>
      <w:tabs>
        <w:tab w:val="right" w:leader="middleDot" w:pos="360"/>
      </w:tabs>
    </w:pPr>
    <w:rPr>
      <w:rFonts w:eastAsia="黑体"/>
      <w:sz w:val="28"/>
      <w:szCs w:val="24"/>
    </w:rPr>
  </w:style>
  <w:style w:type="paragraph" w:customStyle="1" w:styleId="14">
    <w:name w:val="UserStyle_3"/>
    <w:basedOn w:val="1"/>
    <w:qFormat/>
    <w:uiPriority w:val="0"/>
    <w:pPr>
      <w:numPr>
        <w:ilvl w:val="0"/>
        <w:numId w:val="1"/>
      </w:numPr>
      <w:tabs>
        <w:tab w:val="left" w:pos="720"/>
      </w:tabs>
    </w:pPr>
    <w:rPr>
      <w:sz w:val="24"/>
      <w:szCs w:val="24"/>
    </w:rPr>
  </w:style>
  <w:style w:type="paragraph" w:customStyle="1" w:styleId="15">
    <w:name w:val="UserStyle_4"/>
    <w:basedOn w:val="1"/>
    <w:qFormat/>
    <w:uiPriority w:val="0"/>
    <w:pPr>
      <w:spacing w:after="160" w:line="240" w:lineRule="exact"/>
      <w:jc w:val="left"/>
    </w:pPr>
    <w:rPr>
      <w:rFonts w:ascii="Verdana" w:hAnsi="Verdana" w:eastAsia="仿宋_GB2312"/>
      <w:kern w:val="0"/>
      <w:sz w:val="24"/>
      <w:lang w:eastAsia="en-US"/>
    </w:rPr>
  </w:style>
  <w:style w:type="table" w:customStyle="1" w:styleId="16">
    <w:name w:val="TableGrid"/>
    <w:basedOn w:val="7"/>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18</Pages>
  <Words>1158</Words>
  <Characters>6606</Characters>
  <Lines>55</Lines>
  <Paragraphs>15</Paragraphs>
  <TotalTime>4</TotalTime>
  <ScaleCrop>false</ScaleCrop>
  <LinksUpToDate>false</LinksUpToDate>
  <CharactersWithSpaces>7749</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2021-03-15T06:37:00Z</dcterms:created>
  <dc:creator>Administrator</dc:creator>
  <cp:lastModifiedBy>dell</cp:lastModifiedBy>
  <dcterms:modified xsi:type="dcterms:W3CDTF">2021-04-06T08:12:31Z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DA586EFA15674CECA019E8494BF3E4E5</vt:lpwstr>
  </property>
</Properties>
</file>