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6"/>
        <w:shd w:val="clear" w:color="auto" w:fill="FFFFFF"/>
        <w:spacing w:before="0" w:beforeAutospacing="0" w:after="0" w:afterAutospacing="0" w:line="700" w:lineRule="exact"/>
        <w:jc w:val="center"/>
        <w:rPr>
          <w:rFonts w:hint="eastAsia" w:ascii="方正小标宋简体" w:hAnsi="微软雅黑" w:eastAsia="方正小标宋简体"/>
          <w:color w:val="auto"/>
          <w:sz w:val="44"/>
          <w:szCs w:val="44"/>
          <w:lang w:eastAsia="zh-CN"/>
        </w:rPr>
      </w:pPr>
      <w:r>
        <w:rPr>
          <w:rFonts w:hint="eastAsia" w:ascii="方正小标宋简体" w:hAnsi="微软雅黑" w:eastAsia="方正小标宋简体"/>
          <w:color w:val="auto"/>
          <w:sz w:val="44"/>
          <w:szCs w:val="44"/>
        </w:rPr>
        <w:t>201</w:t>
      </w:r>
      <w:r>
        <w:rPr>
          <w:rFonts w:hint="eastAsia" w:ascii="方正小标宋简体" w:hAnsi="微软雅黑" w:eastAsia="方正小标宋简体"/>
          <w:color w:val="auto"/>
          <w:sz w:val="44"/>
          <w:szCs w:val="44"/>
          <w:lang w:val="en-US" w:eastAsia="zh-CN"/>
        </w:rPr>
        <w:t>8</w:t>
      </w:r>
      <w:r>
        <w:rPr>
          <w:rFonts w:hint="eastAsia" w:ascii="方正小标宋简体" w:hAnsi="微软雅黑" w:eastAsia="方正小标宋简体"/>
          <w:color w:val="auto"/>
          <w:sz w:val="44"/>
          <w:szCs w:val="44"/>
        </w:rPr>
        <w:t>年</w:t>
      </w:r>
      <w:bookmarkStart w:id="0" w:name="_GoBack"/>
      <w:r>
        <w:rPr>
          <w:rFonts w:hint="eastAsia" w:ascii="方正小标宋简体" w:hAnsi="微软雅黑" w:eastAsia="方正小标宋简体"/>
          <w:color w:val="auto"/>
          <w:sz w:val="44"/>
          <w:szCs w:val="44"/>
          <w:lang w:eastAsia="zh-CN"/>
        </w:rPr>
        <w:t>鄂温克族自治旗</w:t>
      </w:r>
      <w:bookmarkEnd w:id="0"/>
      <w:r>
        <w:rPr>
          <w:rFonts w:hint="eastAsia" w:ascii="方正小标宋简体" w:hAnsi="微软雅黑" w:eastAsia="方正小标宋简体"/>
          <w:color w:val="auto"/>
          <w:sz w:val="44"/>
          <w:szCs w:val="44"/>
          <w:lang w:eastAsia="zh-CN"/>
        </w:rPr>
        <w:t>住建规划局</w:t>
      </w:r>
    </w:p>
    <w:p>
      <w:pPr>
        <w:pStyle w:val="6"/>
        <w:shd w:val="clear" w:color="auto" w:fill="FFFFFF"/>
        <w:spacing w:before="0" w:beforeAutospacing="0" w:after="0" w:afterAutospacing="0" w:line="700" w:lineRule="exact"/>
        <w:jc w:val="center"/>
        <w:rPr>
          <w:rFonts w:hint="eastAsia" w:ascii="仿宋_GB2312" w:hAnsi="微软雅黑" w:eastAsia="仿宋_GB2312"/>
          <w:color w:val="auto"/>
          <w:sz w:val="32"/>
          <w:szCs w:val="32"/>
        </w:rPr>
      </w:pPr>
      <w:r>
        <w:rPr>
          <w:rFonts w:hint="eastAsia" w:ascii="方正小标宋简体" w:hAnsi="微软雅黑" w:eastAsia="方正小标宋简体"/>
          <w:color w:val="auto"/>
          <w:sz w:val="44"/>
          <w:szCs w:val="44"/>
        </w:rPr>
        <w:t>政府信息公开工作年度报告</w:t>
      </w:r>
    </w:p>
    <w:p>
      <w:pPr>
        <w:pStyle w:val="6"/>
        <w:shd w:val="clear" w:color="auto" w:fill="FFFFFF"/>
        <w:spacing w:before="0" w:beforeAutospacing="0" w:after="0" w:afterAutospacing="0" w:line="560" w:lineRule="exact"/>
        <w:ind w:firstLine="640" w:firstLineChars="200"/>
        <w:jc w:val="both"/>
        <w:rPr>
          <w:rFonts w:hint="eastAsia" w:ascii="仿宋_GB2312" w:hAnsi="微软雅黑" w:eastAsia="仿宋_GB2312"/>
          <w:color w:val="auto"/>
          <w:sz w:val="18"/>
          <w:szCs w:val="18"/>
        </w:rPr>
      </w:pPr>
      <w:r>
        <w:rPr>
          <w:rFonts w:hint="eastAsia" w:ascii="仿宋_GB2312" w:eastAsia="仿宋_GB2312"/>
          <w:color w:val="auto"/>
          <w:sz w:val="32"/>
          <w:szCs w:val="32"/>
        </w:rPr>
        <w:t>根据《中华人民共和国政府信息公开条例》</w:t>
      </w:r>
      <w:r>
        <w:rPr>
          <w:rFonts w:hint="eastAsia" w:ascii="仿宋_GB2312" w:eastAsia="仿宋_GB2312"/>
          <w:color w:val="auto"/>
          <w:sz w:val="32"/>
          <w:szCs w:val="32"/>
          <w:lang w:eastAsia="zh-CN"/>
        </w:rPr>
        <w:t>（</w:t>
      </w:r>
      <w:r>
        <w:rPr>
          <w:rFonts w:hint="eastAsia" w:ascii="仿宋_GB2312" w:eastAsia="仿宋_GB2312"/>
          <w:color w:val="auto"/>
          <w:sz w:val="32"/>
          <w:szCs w:val="32"/>
        </w:rPr>
        <w:t>以下简称《条例》）</w:t>
      </w:r>
      <w:r>
        <w:rPr>
          <w:rFonts w:hint="eastAsia" w:ascii="仿宋_GB2312" w:eastAsia="仿宋_GB2312"/>
          <w:color w:val="auto"/>
          <w:sz w:val="32"/>
          <w:szCs w:val="32"/>
          <w:lang w:eastAsia="zh-CN"/>
        </w:rPr>
        <w:t>和《呼伦贝尔市政府信息公开规定》要求，</w:t>
      </w:r>
      <w:r>
        <w:rPr>
          <w:rFonts w:hint="eastAsia" w:ascii="仿宋_GB2312" w:eastAsia="仿宋_GB2312"/>
          <w:color w:val="auto"/>
          <w:sz w:val="32"/>
          <w:szCs w:val="32"/>
        </w:rPr>
        <w:t>现公布鄂温克旗住建规划局201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年政府信息公开工作年度报告。报告内容包括概述、政府信息主动公开情况以及工作中存在的主要问题和改进措施。本年度报告中所列数据统计期限从201</w:t>
      </w:r>
      <w:r>
        <w:rPr>
          <w:rFonts w:hint="eastAsia" w:ascii="仿宋_GB2312" w:eastAsia="仿宋_GB2312"/>
          <w:color w:val="auto"/>
          <w:sz w:val="32"/>
          <w:szCs w:val="32"/>
          <w:lang w:val="en-US" w:eastAsia="zh-CN"/>
        </w:rPr>
        <w:t>8</w:t>
      </w:r>
      <w:r>
        <w:rPr>
          <w:rFonts w:hint="eastAsia" w:ascii="仿宋_GB2312" w:eastAsia="仿宋_GB2312"/>
          <w:color w:val="auto"/>
          <w:sz w:val="32"/>
          <w:szCs w:val="32"/>
        </w:rPr>
        <w:t>年1月1日到12月31日止。如对本年度报告有任何疑问，请与鄂温克旗住建规划局办公室联系（联系电话0470-8812541，电子邮箱：ewkzjj@163.com）</w:t>
      </w:r>
      <w:r>
        <w:rPr>
          <w:rFonts w:hint="eastAsia" w:ascii="仿宋_GB2312" w:hAnsi="微软雅黑" w:eastAsia="仿宋_GB2312"/>
          <w:color w:val="auto"/>
          <w:sz w:val="32"/>
          <w:szCs w:val="32"/>
        </w:rPr>
        <w:t>。</w:t>
      </w:r>
    </w:p>
    <w:p>
      <w:pPr>
        <w:pStyle w:val="6"/>
        <w:shd w:val="clear" w:color="auto" w:fill="FFFFFF"/>
        <w:spacing w:before="0" w:beforeAutospacing="0" w:after="0" w:afterAutospacing="0" w:line="560" w:lineRule="exact"/>
        <w:ind w:firstLine="645"/>
        <w:jc w:val="both"/>
        <w:rPr>
          <w:rFonts w:ascii="黑体" w:hAnsi="黑体" w:eastAsia="黑体"/>
          <w:color w:val="auto"/>
          <w:sz w:val="18"/>
          <w:szCs w:val="18"/>
        </w:rPr>
      </w:pPr>
      <w:r>
        <w:rPr>
          <w:rFonts w:hint="eastAsia" w:ascii="黑体" w:hAnsi="黑体" w:eastAsia="黑体"/>
          <w:color w:val="auto"/>
          <w:sz w:val="32"/>
          <w:szCs w:val="32"/>
        </w:rPr>
        <w:t>一、概述</w:t>
      </w:r>
    </w:p>
    <w:p>
      <w:pPr>
        <w:pStyle w:val="6"/>
        <w:shd w:val="clear" w:color="auto" w:fill="FFFFFF"/>
        <w:spacing w:before="0" w:beforeAutospacing="0" w:after="0" w:afterAutospacing="0" w:line="560" w:lineRule="exact"/>
        <w:ind w:firstLine="660"/>
        <w:jc w:val="both"/>
        <w:rPr>
          <w:rFonts w:ascii="仿宋_GB2312" w:eastAsia="仿宋_GB2312"/>
          <w:color w:val="auto"/>
          <w:sz w:val="32"/>
          <w:szCs w:val="32"/>
        </w:rPr>
      </w:pPr>
      <w:r>
        <w:rPr>
          <w:rFonts w:hint="eastAsia" w:ascii="仿宋_GB2312" w:eastAsia="仿宋_GB2312"/>
          <w:color w:val="auto"/>
          <w:sz w:val="32"/>
          <w:szCs w:val="32"/>
        </w:rPr>
        <w:t>今年以来，我局根据中央、自治区、市和旗本级有关政务公开工作的要求，在旗政府的正确指导下，以公正便民、依法行政和勤政廉政为基本要求，以提高行政执法效能和公信力为标准，把</w:t>
      </w:r>
      <w:r>
        <w:rPr>
          <w:rFonts w:hint="eastAsia" w:ascii="仿宋_GB2312" w:eastAsia="仿宋_GB2312"/>
          <w:color w:val="auto"/>
          <w:sz w:val="32"/>
          <w:szCs w:val="32"/>
          <w:lang w:eastAsia="zh-CN"/>
        </w:rPr>
        <w:t>做</w:t>
      </w:r>
      <w:r>
        <w:rPr>
          <w:rFonts w:hint="eastAsia" w:ascii="仿宋_GB2312" w:eastAsia="仿宋_GB2312"/>
          <w:color w:val="auto"/>
          <w:sz w:val="32"/>
          <w:szCs w:val="32"/>
        </w:rPr>
        <w:t>好政务公开工作作为践行“两学一做”，密切干群关系，树立亲民政府形象的重要举措，采取多种措施，使政务公开工作稳中求进，稳中提质。局党组高度重视政务公开工作，将政务公开工作列入全年重点工作任务进行推进，并对全局的政务公开工作进行了全面细致的安排部署。局内成立政务公开领导小组，由局长任组长、各位党组成员任副组长、各股室负责人为成员，明确一名副局长协助局长具体分管政务公开工作。领导小组办公室设在局机关综合办公室，负责政务公开日常工作，并指定专人负责政务信息公开的具体工作，各股室指定专人负责政务公开报送工作，形成了一级抓一级、层层抓落实的工作体系，确保工作责任落实到位。</w:t>
      </w:r>
    </w:p>
    <w:p>
      <w:pPr>
        <w:pStyle w:val="6"/>
        <w:shd w:val="clear" w:color="auto" w:fill="FFFFFF"/>
        <w:spacing w:before="0" w:beforeAutospacing="0" w:after="0" w:afterAutospacing="0" w:line="560" w:lineRule="exact"/>
        <w:ind w:firstLine="645"/>
        <w:jc w:val="both"/>
        <w:rPr>
          <w:rFonts w:ascii="黑体" w:hAnsi="黑体" w:eastAsia="黑体"/>
          <w:color w:val="auto"/>
          <w:sz w:val="18"/>
          <w:szCs w:val="18"/>
        </w:rPr>
      </w:pPr>
      <w:r>
        <w:rPr>
          <w:rFonts w:hint="eastAsia" w:ascii="黑体" w:hAnsi="黑体" w:eastAsia="黑体"/>
          <w:color w:val="auto"/>
          <w:sz w:val="32"/>
          <w:szCs w:val="32"/>
        </w:rPr>
        <w:t>二、政府信息主动公开情况</w:t>
      </w:r>
    </w:p>
    <w:p>
      <w:pPr>
        <w:pStyle w:val="6"/>
        <w:shd w:val="clear" w:color="auto" w:fill="FFFFFF"/>
        <w:spacing w:before="0" w:beforeAutospacing="0" w:after="0" w:afterAutospacing="0" w:line="560" w:lineRule="exact"/>
        <w:ind w:firstLine="660"/>
        <w:jc w:val="both"/>
        <w:rPr>
          <w:rFonts w:ascii="楷体_GB2312" w:hAnsi="楷体" w:eastAsia="楷体_GB2312"/>
          <w:color w:val="auto"/>
          <w:sz w:val="32"/>
          <w:szCs w:val="32"/>
        </w:rPr>
      </w:pPr>
      <w:r>
        <w:rPr>
          <w:rFonts w:hint="eastAsia" w:ascii="楷体_GB2312" w:hAnsi="楷体" w:eastAsia="楷体_GB2312"/>
          <w:color w:val="auto"/>
          <w:sz w:val="32"/>
          <w:szCs w:val="32"/>
        </w:rPr>
        <w:t>（一）加强基础保障工作</w:t>
      </w:r>
    </w:p>
    <w:p>
      <w:pPr>
        <w:spacing w:after="0" w:line="560" w:lineRule="exact"/>
        <w:ind w:firstLine="643" w:firstLineChars="200"/>
        <w:jc w:val="both"/>
        <w:rPr>
          <w:rFonts w:ascii="仿宋_GB2312" w:eastAsia="仿宋_GB2312"/>
          <w:color w:val="auto"/>
          <w:sz w:val="32"/>
          <w:szCs w:val="32"/>
        </w:rPr>
      </w:pPr>
      <w:r>
        <w:rPr>
          <w:rFonts w:hint="eastAsia" w:ascii="仿宋_GB2312" w:eastAsia="仿宋_GB2312"/>
          <w:b/>
          <w:bCs/>
          <w:color w:val="auto"/>
          <w:sz w:val="32"/>
          <w:szCs w:val="32"/>
        </w:rPr>
        <w:t>1.强化监督，确保质量。</w:t>
      </w:r>
      <w:r>
        <w:rPr>
          <w:rFonts w:hint="eastAsia" w:ascii="仿宋_GB2312" w:eastAsia="仿宋_GB2312"/>
          <w:color w:val="auto"/>
          <w:sz w:val="32"/>
          <w:szCs w:val="32"/>
        </w:rPr>
        <w:t>旗住建规划局高度重视政府信息公开工作，所发布的各类信息先由股室</w:t>
      </w:r>
      <w:r>
        <w:rPr>
          <w:rFonts w:hint="eastAsia" w:ascii="仿宋_GB2312" w:eastAsia="仿宋_GB2312"/>
          <w:color w:val="auto"/>
          <w:sz w:val="32"/>
          <w:szCs w:val="32"/>
          <w:lang w:eastAsia="zh-CN"/>
        </w:rPr>
        <w:t>、单位</w:t>
      </w:r>
      <w:r>
        <w:rPr>
          <w:rFonts w:hint="eastAsia" w:ascii="仿宋_GB2312" w:eastAsia="仿宋_GB2312"/>
          <w:color w:val="auto"/>
          <w:sz w:val="32"/>
          <w:szCs w:val="32"/>
        </w:rPr>
        <w:t>负责人进行审核后，再交由分管</w:t>
      </w:r>
      <w:r>
        <w:rPr>
          <w:rFonts w:hint="eastAsia" w:ascii="仿宋_GB2312" w:eastAsia="仿宋_GB2312"/>
          <w:color w:val="auto"/>
          <w:sz w:val="32"/>
          <w:szCs w:val="32"/>
          <w:lang w:eastAsia="zh-CN"/>
        </w:rPr>
        <w:t>领导</w:t>
      </w:r>
      <w:r>
        <w:rPr>
          <w:rFonts w:hint="eastAsia" w:ascii="仿宋_GB2312" w:eastAsia="仿宋_GB2312"/>
          <w:color w:val="auto"/>
          <w:sz w:val="32"/>
          <w:szCs w:val="32"/>
        </w:rPr>
        <w:t>审核同意后进行公开，重要信息必须经局长审核</w:t>
      </w:r>
      <w:r>
        <w:rPr>
          <w:rFonts w:hint="eastAsia" w:ascii="仿宋_GB2312" w:eastAsia="仿宋_GB2312"/>
          <w:color w:val="auto"/>
          <w:sz w:val="32"/>
          <w:szCs w:val="32"/>
          <w:lang w:eastAsia="zh-CN"/>
        </w:rPr>
        <w:t>后</w:t>
      </w:r>
      <w:r>
        <w:rPr>
          <w:rFonts w:hint="eastAsia" w:ascii="仿宋_GB2312" w:eastAsia="仿宋_GB2312"/>
          <w:color w:val="auto"/>
          <w:sz w:val="32"/>
          <w:szCs w:val="32"/>
        </w:rPr>
        <w:t>才能进行公开，未经审核同意的信息一律不予公开。确定信息可以公开后，由办公室指定专人，严格按照有关要求，将各类信息上报，确保信息及时主动公开。</w:t>
      </w:r>
    </w:p>
    <w:p>
      <w:pPr>
        <w:pStyle w:val="6"/>
        <w:shd w:val="clear" w:color="auto" w:fill="FFFFFF"/>
        <w:spacing w:before="0" w:beforeAutospacing="0" w:after="0" w:afterAutospacing="0" w:line="560" w:lineRule="exact"/>
        <w:ind w:firstLine="658"/>
        <w:jc w:val="both"/>
        <w:rPr>
          <w:rFonts w:hint="eastAsia" w:ascii="仿宋_GB2312" w:hAnsi="Tahoma" w:eastAsia="仿宋_GB2312" w:cs="黑体"/>
          <w:color w:val="auto"/>
          <w:sz w:val="32"/>
          <w:szCs w:val="32"/>
          <w:lang w:bidi="ar-SA"/>
        </w:rPr>
      </w:pPr>
      <w:r>
        <w:rPr>
          <w:rFonts w:hint="eastAsia" w:ascii="仿宋_GB2312" w:hAnsi="Tahoma" w:eastAsia="仿宋_GB2312" w:cs="黑体"/>
          <w:b/>
          <w:bCs/>
          <w:color w:val="auto"/>
          <w:sz w:val="32"/>
          <w:szCs w:val="32"/>
          <w:lang w:bidi="ar-SA"/>
        </w:rPr>
        <w:t>2.健全制度，细化内容。</w:t>
      </w:r>
      <w:r>
        <w:rPr>
          <w:rFonts w:hint="eastAsia" w:ascii="仿宋_GB2312" w:hAnsi="Tahoma" w:eastAsia="仿宋_GB2312" w:cs="黑体"/>
          <w:color w:val="auto"/>
          <w:sz w:val="32"/>
          <w:szCs w:val="32"/>
          <w:lang w:bidi="ar-SA"/>
        </w:rPr>
        <w:t>为进一步加强政府信息公开工作标准化和规范化建设，我局结合工作实际制定完善了《住建规划局政务办事公开制度》</w:t>
      </w:r>
      <w:r>
        <w:rPr>
          <w:rFonts w:hint="eastAsia" w:ascii="仿宋_GB2312" w:hAnsi="Tahoma" w:eastAsia="仿宋_GB2312" w:cs="黑体"/>
          <w:color w:val="auto"/>
          <w:sz w:val="32"/>
          <w:szCs w:val="32"/>
          <w:lang w:eastAsia="zh-CN" w:bidi="ar-SA"/>
        </w:rPr>
        <w:t>《鄂温克旗住建规划局政务公开制度</w:t>
      </w:r>
      <w:r>
        <w:rPr>
          <w:rFonts w:hint="eastAsia" w:ascii="仿宋_GB2312" w:hAnsi="仿宋_GB2312" w:eastAsia="仿宋_GB2312" w:cs="仿宋_GB2312"/>
          <w:sz w:val="32"/>
          <w:szCs w:val="32"/>
          <w:lang w:val="en-US" w:eastAsia="zh-CN"/>
        </w:rPr>
        <w:t>》《鄂温克旗住建规划局政府信息公开保密审查制度》《鄂温克旗住建规划局政府信息主动公开和依申请公开制度》《</w:t>
      </w:r>
      <w:r>
        <w:rPr>
          <w:rFonts w:hint="eastAsia" w:ascii="仿宋_GB2312" w:hAnsi="Tahoma" w:eastAsia="仿宋_GB2312" w:cs="黑体"/>
          <w:color w:val="auto"/>
          <w:sz w:val="32"/>
          <w:szCs w:val="32"/>
          <w:lang w:bidi="ar-SA"/>
        </w:rPr>
        <w:t>鄂温克旗</w:t>
      </w:r>
      <w:r>
        <w:rPr>
          <w:rFonts w:hint="eastAsia" w:ascii="仿宋_GB2312" w:hAnsi="Tahoma" w:eastAsia="仿宋_GB2312" w:cs="黑体"/>
          <w:color w:val="auto"/>
          <w:sz w:val="32"/>
          <w:szCs w:val="32"/>
          <w:lang w:eastAsia="zh-CN" w:bidi="ar-SA"/>
        </w:rPr>
        <w:t>住建规划局</w:t>
      </w:r>
      <w:r>
        <w:rPr>
          <w:rFonts w:hint="eastAsia" w:ascii="仿宋_GB2312" w:hAnsi="Tahoma" w:eastAsia="仿宋_GB2312" w:cs="黑体"/>
          <w:color w:val="auto"/>
          <w:sz w:val="32"/>
          <w:szCs w:val="32"/>
          <w:lang w:bidi="ar-SA"/>
        </w:rPr>
        <w:t>政府信息公开工作年度报告制度</w:t>
      </w:r>
      <w:r>
        <w:rPr>
          <w:rFonts w:hint="eastAsia" w:ascii="仿宋_GB2312" w:hAnsi="仿宋_GB2312" w:eastAsia="仿宋_GB2312" w:cs="仿宋_GB2312"/>
          <w:sz w:val="32"/>
          <w:szCs w:val="32"/>
          <w:lang w:val="en-US" w:eastAsia="zh-CN"/>
        </w:rPr>
        <w:t>》及《鄂温克旗住建规划局新媒体信息发布管理制度》</w:t>
      </w:r>
      <w:r>
        <w:rPr>
          <w:rFonts w:hint="eastAsia" w:ascii="仿宋_GB2312" w:hAnsi="Tahoma" w:eastAsia="仿宋_GB2312" w:cs="黑体"/>
          <w:color w:val="auto"/>
          <w:sz w:val="32"/>
          <w:szCs w:val="32"/>
          <w:lang w:bidi="ar-SA"/>
        </w:rPr>
        <w:t>。此外，我局严格按照政务信息公开工作的要求和标准，收集整理了各类信息资料数据、图片数据等，确保能全面接收和报送各方面信息。</w:t>
      </w:r>
    </w:p>
    <w:p>
      <w:pPr>
        <w:pStyle w:val="6"/>
        <w:widowControl/>
        <w:shd w:val="clear" w:color="auto" w:fill="FFFFFF"/>
        <w:wordWrap/>
        <w:adjustRightInd/>
        <w:snapToGrid/>
        <w:spacing w:before="0" w:beforeAutospacing="0" w:after="0" w:afterAutospacing="0" w:line="240" w:lineRule="auto"/>
        <w:ind w:left="0" w:leftChars="0" w:right="0" w:firstLine="0" w:firstLineChars="0"/>
        <w:jc w:val="center"/>
        <w:textAlignment w:val="auto"/>
        <w:outlineLvl w:val="9"/>
        <w:rPr>
          <w:rFonts w:hint="eastAsia" w:ascii="仿宋_GB2312" w:hAnsi="Tahoma" w:eastAsia="仿宋_GB2312" w:cs="黑体"/>
          <w:color w:val="auto"/>
          <w:sz w:val="32"/>
          <w:szCs w:val="32"/>
          <w:lang w:bidi="ar-SA"/>
        </w:rPr>
      </w:pPr>
      <w:r>
        <w:rPr>
          <w:rFonts w:hint="eastAsia" w:ascii="仿宋_GB2312" w:hAnsi="Tahoma" w:eastAsia="仿宋_GB2312" w:cs="黑体"/>
          <w:b/>
          <w:bCs/>
          <w:color w:val="auto"/>
          <w:sz w:val="32"/>
          <w:szCs w:val="32"/>
          <w:lang w:val="en-US" w:eastAsia="zh-CN" w:bidi="ar-SA"/>
        </w:rPr>
        <w:pict>
          <v:shape id="图片框 1025" o:spid="_x0000_s1026" type="#_x0000_t75" style="height:142.9pt;width:201.3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eastAsia" w:ascii="仿宋_GB2312" w:hAnsi="Tahoma" w:eastAsia="仿宋_GB2312" w:cs="黑体"/>
          <w:color w:val="auto"/>
          <w:sz w:val="32"/>
          <w:szCs w:val="32"/>
          <w:lang w:val="en-US" w:eastAsia="zh-CN" w:bidi="ar-SA"/>
        </w:rPr>
        <w:pict>
          <v:shape id="图片框 1026" o:spid="_x0000_s1027" type="#_x0000_t75" style="height:134.95pt;width:204.6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hint="eastAsia" w:ascii="仿宋_GB2312" w:hAnsi="Tahoma" w:eastAsia="仿宋_GB2312" w:cs="黑体"/>
          <w:color w:val="auto"/>
          <w:sz w:val="32"/>
          <w:szCs w:val="32"/>
          <w:lang w:val="en-US" w:eastAsia="zh-CN" w:bidi="ar-SA"/>
        </w:rPr>
        <w:pict>
          <v:shape id="图片框 1027" o:spid="_x0000_s1028" type="#_x0000_t75" style="height:150.4pt;width:407.1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6"/>
        <w:widowControl/>
        <w:shd w:val="clear" w:color="auto" w:fill="FFFFFF"/>
        <w:wordWrap/>
        <w:adjustRightInd/>
        <w:snapToGrid/>
        <w:spacing w:before="0" w:beforeAutospacing="0" w:after="0" w:afterAutospacing="0" w:line="560" w:lineRule="exact"/>
        <w:ind w:left="0" w:leftChars="0" w:right="0" w:firstLine="643" w:firstLineChars="200"/>
        <w:jc w:val="both"/>
        <w:textAlignment w:val="auto"/>
        <w:outlineLvl w:val="9"/>
        <w:rPr>
          <w:rFonts w:ascii="仿宋_GB2312" w:hAnsi="Tahoma" w:eastAsia="仿宋_GB2312" w:cs="黑体"/>
          <w:color w:val="auto"/>
          <w:sz w:val="32"/>
          <w:szCs w:val="32"/>
          <w:lang w:bidi="ar-SA"/>
        </w:rPr>
      </w:pPr>
      <w:r>
        <w:rPr>
          <w:rFonts w:hint="eastAsia" w:ascii="仿宋_GB2312" w:hAnsi="Tahoma" w:eastAsia="仿宋_GB2312" w:cs="黑体"/>
          <w:b/>
          <w:bCs/>
          <w:color w:val="auto"/>
          <w:sz w:val="32"/>
          <w:szCs w:val="32"/>
          <w:lang w:bidi="ar-SA"/>
        </w:rPr>
        <w:t>3.运用载体，完善形式。</w:t>
      </w:r>
      <w:r>
        <w:rPr>
          <w:rFonts w:hint="eastAsia" w:ascii="仿宋_GB2312" w:hAnsi="Tahoma" w:eastAsia="仿宋_GB2312" w:cs="黑体"/>
          <w:color w:val="auto"/>
          <w:sz w:val="32"/>
          <w:szCs w:val="32"/>
          <w:lang w:bidi="ar-SA"/>
        </w:rPr>
        <w:t>我局认真拓宽政府信息公开的新载体、新形式，使政府信息公开的形式多样化。</w:t>
      </w:r>
      <w:r>
        <w:rPr>
          <w:rFonts w:hint="eastAsia" w:ascii="仿宋_GB2312" w:hAnsi="Tahoma" w:eastAsia="仿宋_GB2312" w:cs="黑体"/>
          <w:b/>
          <w:bCs/>
          <w:color w:val="auto"/>
          <w:sz w:val="32"/>
          <w:szCs w:val="32"/>
          <w:lang w:bidi="ar-SA"/>
        </w:rPr>
        <w:t>一是</w:t>
      </w:r>
      <w:r>
        <w:rPr>
          <w:rFonts w:hint="eastAsia" w:ascii="仿宋_GB2312" w:hAnsi="Tahoma" w:eastAsia="仿宋_GB2312" w:cs="黑体"/>
          <w:color w:val="auto"/>
          <w:sz w:val="32"/>
          <w:szCs w:val="32"/>
          <w:lang w:bidi="ar-SA"/>
        </w:rPr>
        <w:t>在局内醒目位置设立举报投诉信箱，设置了监督电话等，专门接受群众投诉举报。</w:t>
      </w:r>
      <w:r>
        <w:rPr>
          <w:rFonts w:hint="eastAsia" w:ascii="仿宋_GB2312" w:hAnsi="Tahoma" w:eastAsia="仿宋_GB2312" w:cs="黑体"/>
          <w:b/>
          <w:bCs/>
          <w:color w:val="auto"/>
          <w:sz w:val="32"/>
          <w:szCs w:val="32"/>
          <w:lang w:bidi="ar-SA"/>
        </w:rPr>
        <w:t>二是</w:t>
      </w:r>
      <w:r>
        <w:rPr>
          <w:rFonts w:hint="eastAsia" w:ascii="仿宋_GB2312" w:hAnsi="Tahoma" w:eastAsia="仿宋_GB2312" w:cs="黑体"/>
          <w:color w:val="auto"/>
          <w:sz w:val="32"/>
          <w:szCs w:val="32"/>
          <w:lang w:bidi="ar-SA"/>
        </w:rPr>
        <w:t>有效发挥公示栏等传统宣传方法的作用，让不同层次的群众通过不同渠道获取信息，自觉接受群众的监督。</w:t>
      </w:r>
      <w:r>
        <w:rPr>
          <w:rFonts w:hint="eastAsia" w:ascii="仿宋_GB2312" w:hAnsi="Tahoma" w:eastAsia="仿宋_GB2312" w:cs="黑体"/>
          <w:b/>
          <w:bCs/>
          <w:color w:val="auto"/>
          <w:sz w:val="32"/>
          <w:szCs w:val="32"/>
          <w:lang w:bidi="ar-SA"/>
        </w:rPr>
        <w:t>三是</w:t>
      </w:r>
      <w:r>
        <w:rPr>
          <w:rFonts w:hint="eastAsia" w:ascii="仿宋_GB2312" w:hAnsi="Tahoma" w:eastAsia="仿宋_GB2312" w:cs="黑体"/>
          <w:color w:val="auto"/>
          <w:sz w:val="32"/>
          <w:szCs w:val="32"/>
          <w:lang w:bidi="ar-SA"/>
        </w:rPr>
        <w:t>在局办公楼内设置电子显示屏，丰富了政务公开形式，方便办事群众和局内职工获取相关政务信息。</w:t>
      </w:r>
      <w:r>
        <w:rPr>
          <w:rFonts w:hint="eastAsia" w:ascii="仿宋_GB2312" w:hAnsi="Tahoma" w:eastAsia="仿宋_GB2312" w:cs="黑体"/>
          <w:b/>
          <w:bCs/>
          <w:color w:val="auto"/>
          <w:sz w:val="32"/>
          <w:szCs w:val="32"/>
          <w:lang w:bidi="ar-SA"/>
        </w:rPr>
        <w:t>四是</w:t>
      </w:r>
      <w:r>
        <w:rPr>
          <w:rFonts w:hint="eastAsia" w:ascii="仿宋_GB2312" w:hAnsi="Tahoma" w:eastAsia="仿宋_GB2312" w:cs="黑体"/>
          <w:b w:val="0"/>
          <w:bCs w:val="0"/>
          <w:color w:val="auto"/>
          <w:sz w:val="32"/>
          <w:szCs w:val="32"/>
          <w:lang w:val="en-US" w:eastAsia="zh-CN" w:bidi="ar-SA"/>
        </w:rPr>
        <w:t>创新政务信息公开载体</w:t>
      </w:r>
      <w:r>
        <w:rPr>
          <w:rFonts w:hint="eastAsia" w:ascii="仿宋_GB2312" w:hAnsi="Tahoma" w:eastAsia="仿宋_GB2312" w:cs="黑体"/>
          <w:color w:val="auto"/>
          <w:sz w:val="32"/>
          <w:szCs w:val="32"/>
          <w:lang w:bidi="ar-SA"/>
        </w:rPr>
        <w:t>，</w:t>
      </w:r>
      <w:r>
        <w:rPr>
          <w:rFonts w:hint="eastAsia" w:ascii="仿宋_GB2312" w:hAnsi="仿宋_GB2312" w:eastAsia="仿宋_GB2312" w:cs="仿宋_GB2312"/>
          <w:sz w:val="32"/>
          <w:szCs w:val="32"/>
          <w:lang w:val="en-US" w:eastAsia="zh-CN"/>
        </w:rPr>
        <w:t>建立并开通了旗住建规划局微信公众号，进一步提高了我局政务信息公开的效率</w:t>
      </w:r>
      <w:r>
        <w:rPr>
          <w:rFonts w:hint="eastAsia" w:ascii="仿宋_GB2312" w:hAnsi="Tahoma" w:eastAsia="仿宋_GB2312" w:cs="黑体"/>
          <w:color w:val="auto"/>
          <w:sz w:val="32"/>
          <w:szCs w:val="32"/>
          <w:lang w:bidi="ar-SA"/>
        </w:rPr>
        <w:t>。</w:t>
      </w:r>
    </w:p>
    <w:p>
      <w:pPr>
        <w:pStyle w:val="6"/>
        <w:shd w:val="clear" w:color="auto" w:fill="FFFFFF"/>
        <w:spacing w:before="0" w:beforeAutospacing="0" w:after="0" w:afterAutospacing="0" w:line="240" w:lineRule="auto"/>
        <w:jc w:val="center"/>
        <w:rPr>
          <w:rFonts w:hint="eastAsia" w:ascii="仿宋_GB2312" w:hAnsi="Tahoma" w:eastAsia="仿宋_GB2312" w:cs="黑体"/>
          <w:color w:val="auto"/>
          <w:sz w:val="32"/>
          <w:szCs w:val="32"/>
          <w:lang w:eastAsia="zh-CN" w:bidi="ar-SA"/>
        </w:rPr>
      </w:pPr>
      <w:r>
        <w:rPr>
          <w:rFonts w:hint="eastAsia" w:ascii="仿宋_GB2312" w:hAnsi="Tahoma" w:eastAsia="仿宋_GB2312" w:cs="黑体"/>
          <w:color w:val="auto"/>
          <w:sz w:val="32"/>
          <w:szCs w:val="32"/>
          <w:lang w:val="en-US" w:eastAsia="zh-CN" w:bidi="ar-SA"/>
        </w:rPr>
        <w:pict>
          <v:shape id="图片框 1028" o:spid="_x0000_s1029" type="#_x0000_t75" style="height:148.9pt;width:222.7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仿宋_GB2312" w:hAnsi="Tahoma" w:eastAsia="仿宋_GB2312" w:cs="黑体"/>
          <w:color w:val="auto"/>
          <w:sz w:val="32"/>
          <w:szCs w:val="32"/>
          <w:lang w:val="en-US" w:eastAsia="zh-CN" w:bidi="ar-SA"/>
        </w:rPr>
        <w:pict>
          <v:shape id="图片框 1029" o:spid="_x0000_s1030" type="#_x0000_t75" style="height:147.6pt;width:196.8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eastAsia" w:ascii="仿宋_GB2312" w:hAnsi="Tahoma" w:eastAsia="仿宋_GB2312" w:cs="黑体"/>
          <w:color w:val="auto"/>
          <w:sz w:val="32"/>
          <w:szCs w:val="32"/>
          <w:lang w:val="en-US" w:eastAsia="zh-CN" w:bidi="ar-SA"/>
        </w:rPr>
        <w:pict>
          <v:shape id="图片框 1030" o:spid="_x0000_s1031" type="#_x0000_t75" style="height:337.2pt;width:225.1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eastAsia" w:ascii="仿宋_GB2312" w:hAnsi="Tahoma" w:eastAsia="仿宋_GB2312" w:cs="黑体"/>
          <w:color w:val="auto"/>
          <w:sz w:val="32"/>
          <w:szCs w:val="32"/>
          <w:lang w:val="en-US" w:eastAsia="zh-CN" w:bidi="ar-SA"/>
        </w:rPr>
        <w:pict>
          <v:shape id="图片框 1031" o:spid="_x0000_s1032" type="#_x0000_t75" style="height:337pt;width:214.0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6"/>
        <w:shd w:val="clear" w:color="auto" w:fill="FFFFFF"/>
        <w:spacing w:before="0" w:beforeAutospacing="0" w:after="0" w:afterAutospacing="0" w:line="560" w:lineRule="exact"/>
        <w:ind w:firstLine="658"/>
        <w:jc w:val="both"/>
        <w:rPr>
          <w:rFonts w:hint="eastAsia" w:ascii="楷体_GB2312" w:hAnsi="楷体_GB2312" w:eastAsia="楷体_GB2312" w:cs="楷体_GB2312"/>
          <w:color w:val="auto"/>
          <w:sz w:val="32"/>
          <w:szCs w:val="32"/>
          <w:lang w:bidi="ar-SA"/>
        </w:rPr>
      </w:pPr>
      <w:r>
        <w:rPr>
          <w:rFonts w:hint="eastAsia" w:ascii="楷体_GB2312" w:hAnsi="楷体_GB2312" w:eastAsia="楷体_GB2312" w:cs="楷体_GB2312"/>
          <w:color w:val="auto"/>
          <w:sz w:val="32"/>
          <w:szCs w:val="32"/>
          <w:lang w:bidi="ar-SA"/>
        </w:rPr>
        <w:t>（二）积极推进政府信息公开</w:t>
      </w:r>
    </w:p>
    <w:p>
      <w:pPr>
        <w:pStyle w:val="6"/>
        <w:shd w:val="clear" w:color="auto" w:fill="FFFFFF"/>
        <w:spacing w:before="0" w:beforeAutospacing="0" w:after="0" w:afterAutospacing="0" w:line="560" w:lineRule="exact"/>
        <w:ind w:firstLine="660"/>
        <w:jc w:val="both"/>
        <w:rPr>
          <w:rFonts w:ascii="仿宋_GB2312" w:hAnsi="Tahoma" w:eastAsia="仿宋_GB2312" w:cs="黑体"/>
          <w:b/>
          <w:bCs/>
          <w:color w:val="auto"/>
          <w:sz w:val="32"/>
          <w:szCs w:val="32"/>
          <w:lang w:bidi="ar-SA"/>
        </w:rPr>
      </w:pPr>
      <w:r>
        <w:rPr>
          <w:rFonts w:hint="eastAsia" w:ascii="仿宋_GB2312" w:hAnsi="Tahoma" w:eastAsia="仿宋_GB2312" w:cs="黑体"/>
          <w:b/>
          <w:bCs/>
          <w:color w:val="auto"/>
          <w:sz w:val="32"/>
          <w:szCs w:val="32"/>
          <w:lang w:bidi="ar-SA"/>
        </w:rPr>
        <w:t>1.政府信息公开情况</w:t>
      </w:r>
    </w:p>
    <w:p>
      <w:pPr>
        <w:pStyle w:val="6"/>
        <w:shd w:val="clear" w:color="auto" w:fill="FFFFFF"/>
        <w:spacing w:before="0" w:beforeAutospacing="0" w:after="0" w:afterAutospacing="0" w:line="560" w:lineRule="exact"/>
        <w:ind w:firstLine="658"/>
        <w:jc w:val="both"/>
        <w:rPr>
          <w:rFonts w:hint="eastAsia" w:ascii="仿宋_GB2312" w:hAnsi="微软雅黑" w:eastAsia="仿宋_GB2312"/>
          <w:color w:val="auto"/>
          <w:sz w:val="32"/>
          <w:szCs w:val="32"/>
        </w:rPr>
      </w:pPr>
      <w:r>
        <w:rPr>
          <w:rFonts w:hint="eastAsia" w:ascii="仿宋_GB2312" w:hAnsi="微软雅黑" w:eastAsia="仿宋_GB2312"/>
          <w:color w:val="auto"/>
          <w:sz w:val="32"/>
          <w:szCs w:val="32"/>
        </w:rPr>
        <w:t>201</w:t>
      </w:r>
      <w:r>
        <w:rPr>
          <w:rFonts w:hint="eastAsia" w:ascii="仿宋_GB2312" w:hAnsi="微软雅黑" w:eastAsia="仿宋_GB2312"/>
          <w:color w:val="auto"/>
          <w:sz w:val="32"/>
          <w:szCs w:val="32"/>
          <w:lang w:val="en-US" w:eastAsia="zh-CN"/>
        </w:rPr>
        <w:t>8</w:t>
      </w:r>
      <w:r>
        <w:rPr>
          <w:rFonts w:hint="eastAsia" w:ascii="仿宋_GB2312" w:hAnsi="微软雅黑" w:eastAsia="仿宋_GB2312"/>
          <w:color w:val="auto"/>
          <w:sz w:val="32"/>
          <w:szCs w:val="32"/>
        </w:rPr>
        <w:t>年，我局主动公开政府信息</w:t>
      </w:r>
      <w:r>
        <w:rPr>
          <w:rFonts w:hint="eastAsia" w:ascii="仿宋_GB2312" w:hAnsi="微软雅黑" w:eastAsia="仿宋_GB2312"/>
          <w:color w:val="auto"/>
          <w:sz w:val="32"/>
          <w:szCs w:val="32"/>
          <w:lang w:val="en-US" w:eastAsia="zh-CN"/>
        </w:rPr>
        <w:t>近300</w:t>
      </w:r>
      <w:r>
        <w:rPr>
          <w:rFonts w:hint="eastAsia" w:ascii="仿宋_GB2312" w:hAnsi="微软雅黑" w:eastAsia="仿宋_GB2312"/>
          <w:color w:val="auto"/>
          <w:sz w:val="32"/>
          <w:szCs w:val="32"/>
        </w:rPr>
        <w:t>条,其中，业务动态类</w:t>
      </w:r>
      <w:r>
        <w:rPr>
          <w:rFonts w:hint="eastAsia" w:ascii="仿宋_GB2312" w:hAnsi="微软雅黑" w:eastAsia="仿宋_GB2312"/>
          <w:color w:val="auto"/>
          <w:sz w:val="32"/>
          <w:szCs w:val="32"/>
          <w:lang w:eastAsia="zh-CN"/>
        </w:rPr>
        <w:t>信息</w:t>
      </w:r>
      <w:r>
        <w:rPr>
          <w:rFonts w:hint="eastAsia" w:ascii="仿宋_GB2312" w:hAnsi="微软雅黑" w:eastAsia="仿宋_GB2312"/>
          <w:color w:val="auto"/>
          <w:sz w:val="32"/>
          <w:szCs w:val="32"/>
          <w:lang w:val="en-US" w:eastAsia="zh-CN"/>
        </w:rPr>
        <w:t>占65%</w:t>
      </w:r>
      <w:r>
        <w:rPr>
          <w:rFonts w:hint="eastAsia" w:ascii="仿宋_GB2312" w:hAnsi="微软雅黑" w:eastAsia="仿宋_GB2312"/>
          <w:color w:val="auto"/>
          <w:sz w:val="32"/>
          <w:szCs w:val="32"/>
        </w:rPr>
        <w:t>、</w:t>
      </w:r>
      <w:r>
        <w:rPr>
          <w:rFonts w:hint="eastAsia" w:ascii="仿宋_GB2312" w:hAnsi="微软雅黑" w:eastAsia="仿宋_GB2312"/>
          <w:color w:val="auto"/>
          <w:sz w:val="32"/>
          <w:szCs w:val="32"/>
          <w:lang w:eastAsia="zh-CN"/>
        </w:rPr>
        <w:t>会议活动类信息</w:t>
      </w:r>
      <w:r>
        <w:rPr>
          <w:rFonts w:hint="eastAsia" w:ascii="仿宋_GB2312" w:hAnsi="微软雅黑" w:eastAsia="仿宋_GB2312"/>
          <w:color w:val="auto"/>
          <w:sz w:val="32"/>
          <w:szCs w:val="32"/>
          <w:lang w:val="en-US" w:eastAsia="zh-CN"/>
        </w:rPr>
        <w:t>占25%</w:t>
      </w:r>
      <w:r>
        <w:rPr>
          <w:rFonts w:hint="eastAsia" w:ascii="仿宋_GB2312" w:hAnsi="微软雅黑" w:eastAsia="仿宋_GB2312"/>
          <w:color w:val="auto"/>
          <w:sz w:val="32"/>
          <w:szCs w:val="32"/>
        </w:rPr>
        <w:t>、</w:t>
      </w:r>
      <w:r>
        <w:rPr>
          <w:rFonts w:hint="eastAsia" w:ascii="仿宋_GB2312" w:hAnsi="微软雅黑" w:eastAsia="仿宋_GB2312"/>
          <w:color w:val="auto"/>
          <w:sz w:val="32"/>
          <w:szCs w:val="32"/>
          <w:lang w:eastAsia="zh-CN"/>
        </w:rPr>
        <w:t>其他类信息</w:t>
      </w:r>
      <w:r>
        <w:rPr>
          <w:rFonts w:hint="eastAsia" w:ascii="仿宋_GB2312" w:hAnsi="微软雅黑" w:eastAsia="仿宋_GB2312"/>
          <w:color w:val="auto"/>
          <w:sz w:val="32"/>
          <w:szCs w:val="32"/>
          <w:lang w:val="en-US" w:eastAsia="zh-CN"/>
        </w:rPr>
        <w:t>占10%</w:t>
      </w:r>
      <w:r>
        <w:rPr>
          <w:rFonts w:hint="eastAsia" w:ascii="仿宋_GB2312" w:hAnsi="微软雅黑" w:eastAsia="仿宋_GB2312"/>
          <w:color w:val="auto"/>
          <w:sz w:val="32"/>
          <w:szCs w:val="32"/>
        </w:rPr>
        <w:t>。</w:t>
      </w:r>
      <w:r>
        <w:rPr>
          <w:rFonts w:hint="eastAsia" w:ascii="仿宋_GB2312" w:hAnsi="微软雅黑" w:eastAsia="仿宋_GB2312"/>
          <w:color w:val="auto"/>
          <w:sz w:val="32"/>
          <w:szCs w:val="32"/>
          <w:lang w:eastAsia="zh-CN"/>
        </w:rPr>
        <w:t>通过公开各类信息，</w:t>
      </w:r>
      <w:r>
        <w:rPr>
          <w:rFonts w:hint="eastAsia" w:ascii="仿宋_GB2312" w:eastAsia="仿宋_GB2312"/>
          <w:color w:val="auto"/>
          <w:sz w:val="32"/>
          <w:szCs w:val="32"/>
        </w:rPr>
        <w:t>最大限度地保障广大公民的知情权、参与权、监督权，为社会公众的监督提供</w:t>
      </w:r>
      <w:r>
        <w:rPr>
          <w:rFonts w:hint="eastAsia" w:ascii="仿宋_GB2312" w:eastAsia="仿宋_GB2312"/>
          <w:color w:val="auto"/>
          <w:sz w:val="32"/>
          <w:szCs w:val="32"/>
          <w:lang w:eastAsia="zh-CN"/>
        </w:rPr>
        <w:t>有利</w:t>
      </w:r>
      <w:r>
        <w:rPr>
          <w:rFonts w:hint="eastAsia" w:ascii="仿宋_GB2312" w:eastAsia="仿宋_GB2312"/>
          <w:color w:val="auto"/>
          <w:sz w:val="32"/>
          <w:szCs w:val="32"/>
        </w:rPr>
        <w:t>条件，</w:t>
      </w:r>
      <w:r>
        <w:rPr>
          <w:rFonts w:hint="eastAsia" w:ascii="仿宋_GB2312" w:eastAsia="仿宋_GB2312"/>
          <w:color w:val="auto"/>
          <w:sz w:val="32"/>
          <w:szCs w:val="32"/>
          <w:lang w:eastAsia="zh-CN"/>
        </w:rPr>
        <w:t>进一步</w:t>
      </w:r>
      <w:r>
        <w:rPr>
          <w:rFonts w:hint="eastAsia" w:ascii="仿宋_GB2312" w:eastAsia="仿宋_GB2312"/>
          <w:color w:val="auto"/>
          <w:sz w:val="32"/>
          <w:szCs w:val="32"/>
        </w:rPr>
        <w:t>促进</w:t>
      </w:r>
      <w:r>
        <w:rPr>
          <w:rFonts w:hint="eastAsia" w:ascii="仿宋_GB2312" w:eastAsia="仿宋_GB2312"/>
          <w:color w:val="auto"/>
          <w:sz w:val="32"/>
          <w:szCs w:val="32"/>
          <w:lang w:eastAsia="zh-CN"/>
        </w:rPr>
        <w:t>了旗住建规划局</w:t>
      </w:r>
      <w:r>
        <w:rPr>
          <w:rFonts w:hint="eastAsia" w:ascii="仿宋_GB2312" w:eastAsia="仿宋_GB2312"/>
          <w:color w:val="auto"/>
          <w:sz w:val="32"/>
          <w:szCs w:val="32"/>
        </w:rPr>
        <w:t>行政效能的提高，取得了良好的效果。全年未受理过依申请公开信息事项。</w:t>
      </w:r>
    </w:p>
    <w:p>
      <w:pPr>
        <w:pStyle w:val="6"/>
        <w:shd w:val="clear" w:color="auto" w:fill="FFFFFF"/>
        <w:spacing w:before="0" w:beforeAutospacing="0" w:after="0" w:afterAutospacing="0"/>
        <w:jc w:val="center"/>
        <w:rPr>
          <w:rFonts w:hint="eastAsia" w:ascii="仿宋_GB2312" w:hAnsi="微软雅黑" w:eastAsia="仿宋_GB2312"/>
          <w:color w:val="auto"/>
          <w:sz w:val="32"/>
          <w:szCs w:val="32"/>
          <w:lang w:eastAsia="zh-CN"/>
        </w:rPr>
      </w:pPr>
      <w:r>
        <w:rPr>
          <w:rFonts w:hint="eastAsia" w:ascii="仿宋_GB2312" w:hAnsi="微软雅黑" w:eastAsia="仿宋_GB2312" w:cs="宋体"/>
          <w:color w:val="auto"/>
          <w:sz w:val="32"/>
          <w:szCs w:val="32"/>
          <w:lang w:val="en-US" w:eastAsia="zh-CN" w:bidi="ar-SA"/>
        </w:rPr>
        <w:pict>
          <v:shape id="未知" o:spid="_x0000_s1033" type="" style="height:179.25pt;width:399.3pt;rotation:0f;" o:ole="f" fillcolor="#FFFFFF" filled="t" o:preferrelative="t" stroked="t" coordorigin="0,0" coordsize="21600,21600">
            <v:stroke color="#000000" color2="#FFFFFF" miterlimit="2"/>
            <v:imagedata gain="65536f" blacklevel="0f" gamma="0"/>
            <o:lock v:ext="edit" position="f" selection="f" grouping="f" rotation="t" cropping="f" text="f" aspectratio="f"/>
            <w10:wrap type="none"/>
            <w10:anchorlock/>
          </v:shape>
        </w:pict>
      </w:r>
    </w:p>
    <w:p>
      <w:pPr>
        <w:pStyle w:val="6"/>
        <w:shd w:val="clear" w:color="auto" w:fill="FFFFFF"/>
        <w:spacing w:before="0" w:beforeAutospacing="0" w:after="0" w:afterAutospacing="0" w:line="560" w:lineRule="exact"/>
        <w:ind w:firstLine="658"/>
        <w:jc w:val="both"/>
        <w:rPr>
          <w:rFonts w:hint="eastAsia" w:ascii="仿宋_GB2312" w:hAnsi="微软雅黑" w:eastAsia="仿宋_GB2312"/>
          <w:b/>
          <w:bCs/>
          <w:color w:val="auto"/>
          <w:sz w:val="32"/>
          <w:szCs w:val="32"/>
        </w:rPr>
      </w:pPr>
      <w:r>
        <w:rPr>
          <w:rFonts w:hint="eastAsia" w:ascii="仿宋_GB2312" w:hAnsi="微软雅黑" w:eastAsia="仿宋_GB2312"/>
          <w:b/>
          <w:bCs/>
          <w:color w:val="auto"/>
          <w:sz w:val="32"/>
          <w:szCs w:val="32"/>
        </w:rPr>
        <w:t>2.推进行政权力运行全程公开</w:t>
      </w:r>
    </w:p>
    <w:p>
      <w:pPr>
        <w:pStyle w:val="6"/>
        <w:shd w:val="clear" w:color="auto" w:fill="FFFFFF"/>
        <w:spacing w:before="0" w:beforeAutospacing="0" w:after="0" w:afterAutospacing="0" w:line="560" w:lineRule="exact"/>
        <w:ind w:firstLine="658"/>
        <w:jc w:val="both"/>
        <w:rPr>
          <w:rFonts w:ascii="仿宋_GB2312" w:hAnsi="微软雅黑" w:eastAsia="仿宋_GB2312"/>
          <w:color w:val="auto"/>
          <w:sz w:val="32"/>
          <w:szCs w:val="32"/>
        </w:rPr>
      </w:pPr>
      <w:r>
        <w:rPr>
          <w:rFonts w:hint="eastAsia" w:ascii="仿宋_GB2312" w:hAnsi="微软雅黑" w:eastAsia="仿宋_GB2312"/>
          <w:color w:val="auto"/>
          <w:sz w:val="32"/>
          <w:szCs w:val="32"/>
        </w:rPr>
        <w:t>我局将规划审批、施工许可证等事项的办理流程图制作成图版上墙，</w:t>
      </w:r>
      <w:r>
        <w:rPr>
          <w:rFonts w:hint="eastAsia" w:ascii="仿宋_GB2312" w:hAnsi="微软雅黑" w:eastAsia="仿宋_GB2312"/>
          <w:color w:val="auto"/>
          <w:sz w:val="32"/>
          <w:szCs w:val="32"/>
          <w:lang w:eastAsia="zh-CN"/>
        </w:rPr>
        <w:t>全面规范各项工作流程，</w:t>
      </w:r>
      <w:r>
        <w:rPr>
          <w:rFonts w:hint="eastAsia" w:ascii="仿宋_GB2312" w:hAnsi="微软雅黑" w:eastAsia="仿宋_GB2312"/>
          <w:color w:val="auto"/>
          <w:sz w:val="32"/>
          <w:szCs w:val="32"/>
        </w:rPr>
        <w:t>方便群众办理</w:t>
      </w:r>
      <w:r>
        <w:rPr>
          <w:rFonts w:hint="eastAsia" w:ascii="仿宋_GB2312" w:hAnsi="微软雅黑" w:eastAsia="仿宋_GB2312"/>
          <w:color w:val="auto"/>
          <w:sz w:val="32"/>
          <w:szCs w:val="32"/>
          <w:lang w:eastAsia="zh-CN"/>
        </w:rPr>
        <w:t>各类业务的同时强化群众监督，</w:t>
      </w:r>
      <w:r>
        <w:rPr>
          <w:rFonts w:hint="eastAsia" w:ascii="仿宋_GB2312" w:hAnsi="仿宋_GB2312" w:eastAsia="仿宋_GB2312" w:cs="仿宋_GB2312"/>
          <w:sz w:val="32"/>
          <w:szCs w:val="32"/>
          <w:lang w:val="en-US" w:eastAsia="zh-CN"/>
        </w:rPr>
        <w:t>进一步提高了我局依法行政、依法办事的水平</w:t>
      </w:r>
      <w:r>
        <w:rPr>
          <w:rFonts w:hint="eastAsia" w:ascii="仿宋_GB2312" w:hAnsi="微软雅黑" w:eastAsia="仿宋_GB2312"/>
          <w:color w:val="auto"/>
          <w:sz w:val="32"/>
          <w:szCs w:val="32"/>
        </w:rPr>
        <w:t>。</w:t>
      </w:r>
    </w:p>
    <w:p>
      <w:pPr>
        <w:pStyle w:val="6"/>
        <w:shd w:val="clear" w:color="auto" w:fill="FFFFFF"/>
        <w:spacing w:before="0" w:beforeAutospacing="0" w:after="0" w:afterAutospacing="0" w:line="560" w:lineRule="exact"/>
        <w:ind w:firstLine="658"/>
        <w:jc w:val="both"/>
        <w:rPr>
          <w:rFonts w:hint="eastAsia" w:ascii="仿宋_GB2312" w:hAnsi="微软雅黑" w:eastAsia="仿宋_GB2312"/>
          <w:color w:val="auto"/>
          <w:sz w:val="32"/>
          <w:szCs w:val="32"/>
        </w:rPr>
      </w:pPr>
      <w:r>
        <w:rPr>
          <w:rFonts w:hint="eastAsia" w:ascii="仿宋_GB2312" w:hAnsi="微软雅黑" w:eastAsia="仿宋_GB2312" w:cs="宋体"/>
          <w:color w:val="auto"/>
          <w:sz w:val="32"/>
          <w:szCs w:val="32"/>
          <w:lang w:val="en-US" w:eastAsia="zh-CN" w:bidi="ar-SA"/>
        </w:rPr>
        <w:pict>
          <v:shape id="图片 0" o:spid="_x0000_s1034" type="#_x0000_t75" style="position:absolute;left:0;margin-left:6pt;margin-top:6pt;height:192.8pt;width:458.7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Fonts w:hint="eastAsia" w:ascii="楷体_GB2312" w:hAnsi="楷体_GB2312" w:eastAsia="楷体_GB2312" w:cs="楷体_GB2312"/>
          <w:color w:val="auto"/>
          <w:sz w:val="32"/>
          <w:szCs w:val="32"/>
          <w:lang w:bidi="ar-SA"/>
        </w:rPr>
        <w:t>（</w:t>
      </w:r>
      <w:r>
        <w:rPr>
          <w:rFonts w:hint="eastAsia" w:ascii="楷体_GB2312" w:hAnsi="楷体_GB2312" w:eastAsia="楷体_GB2312" w:cs="楷体_GB2312"/>
          <w:color w:val="auto"/>
          <w:sz w:val="32"/>
          <w:szCs w:val="32"/>
          <w:lang w:eastAsia="zh-CN" w:bidi="ar-SA"/>
        </w:rPr>
        <w:t>三</w:t>
      </w:r>
      <w:r>
        <w:rPr>
          <w:rFonts w:hint="eastAsia" w:ascii="楷体_GB2312" w:hAnsi="楷体_GB2312" w:eastAsia="楷体_GB2312" w:cs="楷体_GB2312"/>
          <w:color w:val="auto"/>
          <w:sz w:val="32"/>
          <w:szCs w:val="32"/>
          <w:lang w:bidi="ar-SA"/>
        </w:rPr>
        <w:t>）</w:t>
      </w:r>
      <w:r>
        <w:rPr>
          <w:rFonts w:hint="eastAsia" w:ascii="楷体_GB2312" w:hAnsi="楷体_GB2312" w:eastAsia="楷体_GB2312" w:cs="楷体_GB2312"/>
          <w:color w:val="auto"/>
          <w:sz w:val="32"/>
          <w:szCs w:val="32"/>
          <w:lang w:eastAsia="zh-CN" w:bidi="ar-SA"/>
        </w:rPr>
        <w:t>加强</w:t>
      </w:r>
      <w:r>
        <w:rPr>
          <w:rFonts w:hint="eastAsia" w:ascii="楷体_GB2312" w:hAnsi="楷体_GB2312" w:eastAsia="楷体_GB2312" w:cs="楷体_GB2312"/>
          <w:color w:val="auto"/>
          <w:sz w:val="32"/>
          <w:szCs w:val="32"/>
          <w:lang w:bidi="ar-SA"/>
        </w:rPr>
        <w:t>政务公开业务培训</w:t>
      </w:r>
    </w:p>
    <w:p>
      <w:pPr>
        <w:widowControl w:val="0"/>
        <w:numPr>
          <w:numId w:val="0"/>
        </w:numPr>
        <w:wordWrap/>
        <w:adjustRightInd/>
        <w:snapToGrid/>
        <w:spacing w:line="560" w:lineRule="exact"/>
        <w:ind w:left="0" w:leftChars="0" w:right="0" w:firstLine="640" w:firstLineChars="200"/>
        <w:jc w:val="both"/>
        <w:textAlignment w:val="auto"/>
        <w:outlineLvl w:val="9"/>
        <w:rPr>
          <w:rFonts w:hint="eastAsia" w:ascii="仿宋_GB2312" w:hAnsi="微软雅黑" w:eastAsia="仿宋_GB2312"/>
          <w:color w:val="auto"/>
          <w:sz w:val="32"/>
          <w:szCs w:val="32"/>
        </w:rPr>
      </w:pPr>
      <w:r>
        <w:rPr>
          <w:rFonts w:hint="eastAsia" w:ascii="仿宋_GB2312" w:hAnsi="仿宋_GB2312" w:eastAsia="仿宋_GB2312" w:cs="仿宋_GB2312"/>
          <w:sz w:val="32"/>
          <w:szCs w:val="32"/>
          <w:lang w:val="en-US" w:eastAsia="zh-CN"/>
        </w:rPr>
        <w:t>我局通过在全系统组织开展公文写作及政务公开工作培训，进一步规范了政务信息公开管理</w:t>
      </w:r>
      <w:r>
        <w:rPr>
          <w:rFonts w:hint="eastAsia" w:ascii="仿宋_GB2312" w:hAnsi="微软雅黑" w:eastAsia="仿宋_GB2312"/>
          <w:color w:val="auto"/>
          <w:sz w:val="32"/>
          <w:szCs w:val="32"/>
        </w:rPr>
        <w:t>，</w:t>
      </w:r>
      <w:r>
        <w:rPr>
          <w:rFonts w:hint="eastAsia" w:ascii="仿宋_GB2312" w:hAnsi="微软雅黑" w:eastAsia="仿宋_GB2312"/>
          <w:color w:val="auto"/>
          <w:sz w:val="32"/>
          <w:szCs w:val="32"/>
          <w:lang w:eastAsia="zh-CN"/>
        </w:rPr>
        <w:t>全面推进了住建规划系统“五公开”工作，</w:t>
      </w:r>
      <w:r>
        <w:rPr>
          <w:rFonts w:hint="eastAsia" w:ascii="仿宋_GB2312" w:hAnsi="微软雅黑" w:eastAsia="仿宋_GB2312"/>
          <w:color w:val="auto"/>
          <w:sz w:val="32"/>
          <w:szCs w:val="32"/>
        </w:rPr>
        <w:t>各部门工作人员</w:t>
      </w:r>
      <w:r>
        <w:rPr>
          <w:rFonts w:hint="eastAsia" w:ascii="仿宋_GB2312" w:hAnsi="微软雅黑" w:eastAsia="仿宋_GB2312"/>
          <w:color w:val="auto"/>
          <w:sz w:val="32"/>
          <w:szCs w:val="32"/>
          <w:lang w:eastAsia="zh-CN"/>
        </w:rPr>
        <w:t>进一步明确了“五公开”的主体、内容、方式等，</w:t>
      </w:r>
      <w:r>
        <w:rPr>
          <w:rFonts w:hint="eastAsia" w:ascii="仿宋_GB2312" w:hAnsi="微软雅黑" w:eastAsia="仿宋_GB2312"/>
          <w:color w:val="auto"/>
          <w:sz w:val="32"/>
          <w:szCs w:val="32"/>
        </w:rPr>
        <w:t>加强了政策理论学习和业务研究，强化</w:t>
      </w:r>
      <w:r>
        <w:rPr>
          <w:rFonts w:hint="eastAsia" w:ascii="仿宋_GB2312" w:hAnsi="微软雅黑" w:eastAsia="仿宋_GB2312"/>
          <w:color w:val="auto"/>
          <w:sz w:val="32"/>
          <w:szCs w:val="32"/>
          <w:lang w:eastAsia="zh-CN"/>
        </w:rPr>
        <w:t>了</w:t>
      </w:r>
      <w:r>
        <w:rPr>
          <w:rFonts w:hint="eastAsia" w:ascii="仿宋_GB2312" w:hAnsi="微软雅黑" w:eastAsia="仿宋_GB2312"/>
          <w:color w:val="auto"/>
          <w:sz w:val="32"/>
          <w:szCs w:val="32"/>
        </w:rPr>
        <w:t>公开理念，增强</w:t>
      </w:r>
      <w:r>
        <w:rPr>
          <w:rFonts w:hint="eastAsia" w:ascii="仿宋_GB2312" w:hAnsi="微软雅黑" w:eastAsia="仿宋_GB2312"/>
          <w:color w:val="auto"/>
          <w:sz w:val="32"/>
          <w:szCs w:val="32"/>
          <w:lang w:eastAsia="zh-CN"/>
        </w:rPr>
        <w:t>了</w:t>
      </w:r>
      <w:r>
        <w:rPr>
          <w:rFonts w:hint="eastAsia" w:ascii="仿宋_GB2312" w:hAnsi="微软雅黑" w:eastAsia="仿宋_GB2312"/>
          <w:color w:val="auto"/>
          <w:sz w:val="32"/>
          <w:szCs w:val="32"/>
        </w:rPr>
        <w:t>政策把握能力和专业素养</w:t>
      </w:r>
      <w:r>
        <w:rPr>
          <w:rFonts w:hint="eastAsia" w:ascii="仿宋_GB2312" w:hAnsi="微软雅黑" w:eastAsia="仿宋_GB2312"/>
          <w:color w:val="auto"/>
          <w:sz w:val="32"/>
          <w:szCs w:val="32"/>
          <w:lang w:eastAsia="zh-CN"/>
        </w:rPr>
        <w:t>以及</w:t>
      </w:r>
      <w:r>
        <w:rPr>
          <w:rFonts w:hint="eastAsia" w:ascii="仿宋_GB2312" w:hAnsi="微软雅黑" w:eastAsia="仿宋_GB2312"/>
          <w:color w:val="auto"/>
          <w:sz w:val="32"/>
          <w:szCs w:val="32"/>
        </w:rPr>
        <w:t>推动</w:t>
      </w:r>
      <w:r>
        <w:rPr>
          <w:rFonts w:hint="eastAsia" w:ascii="仿宋_GB2312" w:hAnsi="微软雅黑" w:eastAsia="仿宋_GB2312"/>
          <w:color w:val="auto"/>
          <w:sz w:val="32"/>
          <w:szCs w:val="32"/>
          <w:lang w:eastAsia="zh-CN"/>
        </w:rPr>
        <w:t>政务</w:t>
      </w:r>
      <w:r>
        <w:rPr>
          <w:rFonts w:hint="eastAsia" w:ascii="仿宋_GB2312" w:hAnsi="微软雅黑" w:eastAsia="仿宋_GB2312"/>
          <w:color w:val="auto"/>
          <w:sz w:val="32"/>
          <w:szCs w:val="32"/>
        </w:rPr>
        <w:t>公开工作的能力和水平</w:t>
      </w:r>
      <w:r>
        <w:rPr>
          <w:rFonts w:hint="eastAsia" w:ascii="仿宋_GB2312" w:hAnsi="微软雅黑" w:eastAsia="仿宋_GB2312"/>
          <w:color w:val="auto"/>
          <w:sz w:val="32"/>
          <w:szCs w:val="32"/>
          <w:lang w:eastAsia="zh-CN"/>
        </w:rPr>
        <w:t>，为进一步做好住建规划系统当前和今后一个时期政务公开工作奠定了良好的基础</w:t>
      </w:r>
      <w:r>
        <w:rPr>
          <w:rFonts w:hint="eastAsia" w:ascii="仿宋_GB2312" w:hAnsi="微软雅黑" w:eastAsia="仿宋_GB2312"/>
          <w:color w:val="auto"/>
          <w:sz w:val="32"/>
          <w:szCs w:val="32"/>
        </w:rPr>
        <w:t>。</w:t>
      </w:r>
    </w:p>
    <w:p>
      <w:pPr>
        <w:pStyle w:val="6"/>
        <w:widowControl/>
        <w:shd w:val="clear" w:color="auto" w:fill="FFFFFF"/>
        <w:wordWrap/>
        <w:adjustRightInd/>
        <w:snapToGrid/>
        <w:spacing w:before="0" w:beforeAutospacing="0" w:after="0" w:afterAutospacing="0" w:line="240" w:lineRule="auto"/>
        <w:ind w:right="0"/>
        <w:jc w:val="both"/>
        <w:textAlignment w:val="auto"/>
        <w:outlineLvl w:val="9"/>
        <w:rPr>
          <w:rFonts w:hint="eastAsia" w:ascii="黑体" w:hAnsi="黑体" w:eastAsia="黑体"/>
          <w:color w:val="auto"/>
          <w:sz w:val="32"/>
          <w:szCs w:val="32"/>
          <w:lang w:eastAsia="zh-CN"/>
        </w:rPr>
      </w:pPr>
      <w:r>
        <w:rPr>
          <w:rFonts w:hint="eastAsia" w:ascii="黑体" w:hAnsi="黑体" w:eastAsia="黑体" w:cs="宋体"/>
          <w:color w:val="auto"/>
          <w:sz w:val="32"/>
          <w:szCs w:val="32"/>
          <w:lang w:val="en-US" w:eastAsia="zh-CN" w:bidi="ar-SA"/>
        </w:rPr>
        <w:pict>
          <v:shape id="图片框 1034" o:spid="_x0000_s1035" type="#_x0000_t75" style="height:174.8pt;width:232.9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rFonts w:hint="eastAsia" w:ascii="黑体" w:hAnsi="黑体" w:eastAsia="黑体" w:cs="宋体"/>
          <w:color w:val="auto"/>
          <w:sz w:val="32"/>
          <w:szCs w:val="32"/>
          <w:lang w:val="en-US" w:eastAsia="zh-CN" w:bidi="ar-SA"/>
        </w:rPr>
        <w:pict>
          <v:shape id="图片框 1035" o:spid="_x0000_s1036" type="#_x0000_t75" style="height:175.55pt;width:234.0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6"/>
        <w:shd w:val="clear" w:color="auto" w:fill="FFFFFF"/>
        <w:spacing w:before="0" w:beforeAutospacing="0" w:after="0" w:afterAutospacing="0" w:line="560" w:lineRule="exact"/>
        <w:ind w:firstLine="658"/>
        <w:jc w:val="both"/>
        <w:rPr>
          <w:rFonts w:ascii="黑体" w:hAnsi="黑体" w:eastAsia="黑体"/>
          <w:color w:val="auto"/>
          <w:sz w:val="32"/>
          <w:szCs w:val="32"/>
        </w:rPr>
      </w:pPr>
      <w:r>
        <w:rPr>
          <w:rFonts w:hint="eastAsia" w:ascii="黑体" w:hAnsi="黑体" w:eastAsia="黑体"/>
          <w:color w:val="auto"/>
          <w:sz w:val="32"/>
          <w:szCs w:val="32"/>
        </w:rPr>
        <w:t>三、存在的主要问题及改进措施</w:t>
      </w:r>
    </w:p>
    <w:p>
      <w:pPr>
        <w:widowControl w:val="0"/>
        <w:wordWrap/>
        <w:adjustRightInd/>
        <w:snapToGrid/>
        <w:spacing w:after="0" w:line="560" w:lineRule="exact"/>
        <w:ind w:left="0" w:leftChars="0" w:right="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一是信息公开时间节点把握不准，部分信息公开不够及时，未能全部按照规定时间节点公开；二是政务信息公开审核工作有待进一步加强。</w:t>
      </w:r>
    </w:p>
    <w:p>
      <w:pPr>
        <w:pStyle w:val="6"/>
        <w:widowControl/>
        <w:shd w:val="clear" w:color="auto" w:fill="FFFFFF"/>
        <w:wordWrap/>
        <w:adjustRightInd/>
        <w:snapToGrid/>
        <w:spacing w:before="0" w:beforeAutospacing="0" w:after="0" w:afterAutospacing="0" w:line="560" w:lineRule="exact"/>
        <w:ind w:firstLine="640" w:firstLineChars="200"/>
        <w:jc w:val="both"/>
        <w:textAlignment w:val="auto"/>
        <w:outlineLvl w:val="9"/>
        <w:rPr>
          <w:rFonts w:hint="eastAsia" w:ascii="仿宋_GB2312" w:hAnsi="微软雅黑" w:eastAsia="仿宋_GB2312"/>
          <w:color w:val="auto"/>
          <w:sz w:val="32"/>
          <w:szCs w:val="32"/>
        </w:rPr>
      </w:pPr>
      <w:r>
        <w:rPr>
          <w:rFonts w:hint="eastAsia" w:ascii="仿宋_GB2312" w:hAnsi="微软雅黑" w:eastAsia="仿宋_GB2312"/>
          <w:color w:val="auto"/>
          <w:sz w:val="32"/>
          <w:szCs w:val="32"/>
        </w:rPr>
        <w:t>在今后的工作中，我局将紧紧围绕全旗政务公开工作</w:t>
      </w:r>
      <w:r>
        <w:rPr>
          <w:rFonts w:hint="eastAsia" w:ascii="仿宋_GB2312" w:hAnsi="微软雅黑" w:eastAsia="仿宋_GB2312"/>
          <w:color w:val="auto"/>
          <w:sz w:val="32"/>
          <w:szCs w:val="32"/>
          <w:lang w:eastAsia="zh-CN"/>
        </w:rPr>
        <w:t>要点</w:t>
      </w:r>
      <w:r>
        <w:rPr>
          <w:rFonts w:hint="eastAsia" w:ascii="仿宋_GB2312" w:hAnsi="微软雅黑" w:eastAsia="仿宋_GB2312"/>
          <w:color w:val="auto"/>
          <w:sz w:val="32"/>
          <w:szCs w:val="32"/>
        </w:rPr>
        <w:t>，继续加大政务公开工作力度，着重做好以下几方面工作。</w:t>
      </w:r>
      <w:r>
        <w:rPr>
          <w:rFonts w:hint="eastAsia" w:ascii="仿宋_GB2312" w:hAnsi="微软雅黑" w:eastAsia="仿宋_GB2312"/>
          <w:b/>
          <w:bCs/>
          <w:color w:val="auto"/>
          <w:sz w:val="32"/>
          <w:szCs w:val="32"/>
        </w:rPr>
        <w:t>一是</w:t>
      </w:r>
      <w:r>
        <w:rPr>
          <w:rFonts w:hint="eastAsia" w:ascii="仿宋_GB2312" w:hAnsi="微软雅黑" w:eastAsia="仿宋_GB2312"/>
          <w:color w:val="auto"/>
          <w:sz w:val="32"/>
          <w:szCs w:val="32"/>
        </w:rPr>
        <w:t>进一步加强组织领导，规范梳理城乡建设规划方面的政府信息，做到及时公布，确保政府信息公开工作按照</w:t>
      </w:r>
      <w:r>
        <w:rPr>
          <w:rFonts w:hint="eastAsia" w:ascii="仿宋_GB2312" w:hAnsi="微软雅黑" w:eastAsia="仿宋_GB2312"/>
          <w:color w:val="auto"/>
          <w:sz w:val="32"/>
          <w:szCs w:val="32"/>
          <w:lang w:eastAsia="zh-CN"/>
        </w:rPr>
        <w:t>规定</w:t>
      </w:r>
      <w:r>
        <w:rPr>
          <w:rFonts w:hint="eastAsia" w:ascii="仿宋_GB2312" w:hAnsi="微软雅黑" w:eastAsia="仿宋_GB2312"/>
          <w:color w:val="auto"/>
          <w:sz w:val="32"/>
          <w:szCs w:val="32"/>
        </w:rPr>
        <w:t>流程有效运作。</w:t>
      </w:r>
      <w:r>
        <w:rPr>
          <w:rFonts w:hint="eastAsia" w:ascii="仿宋_GB2312" w:hAnsi="微软雅黑" w:eastAsia="仿宋_GB2312"/>
          <w:b/>
          <w:bCs/>
          <w:color w:val="auto"/>
          <w:sz w:val="32"/>
          <w:szCs w:val="32"/>
        </w:rPr>
        <w:t>二是</w:t>
      </w:r>
      <w:r>
        <w:rPr>
          <w:rFonts w:hint="eastAsia" w:ascii="仿宋_GB2312" w:hAnsi="微软雅黑" w:eastAsia="仿宋_GB2312"/>
          <w:color w:val="auto"/>
          <w:sz w:val="32"/>
          <w:szCs w:val="32"/>
        </w:rPr>
        <w:t>及时完善更新主动公开政府信息内容，保证公开信息的完整性和准确性，不断提高信息管理人员</w:t>
      </w:r>
      <w:r>
        <w:rPr>
          <w:rFonts w:hint="eastAsia" w:ascii="仿宋_GB2312" w:hAnsi="微软雅黑" w:eastAsia="仿宋_GB2312"/>
          <w:color w:val="auto"/>
          <w:sz w:val="32"/>
          <w:szCs w:val="32"/>
          <w:lang w:eastAsia="zh-CN"/>
        </w:rPr>
        <w:t>的</w:t>
      </w:r>
      <w:r>
        <w:rPr>
          <w:rFonts w:hint="eastAsia" w:ascii="仿宋_GB2312" w:hAnsi="微软雅黑" w:eastAsia="仿宋_GB2312"/>
          <w:color w:val="auto"/>
          <w:sz w:val="32"/>
          <w:szCs w:val="32"/>
        </w:rPr>
        <w:t>综合素质</w:t>
      </w:r>
      <w:r>
        <w:rPr>
          <w:rFonts w:hint="eastAsia" w:ascii="仿宋_GB2312" w:hAnsi="微软雅黑" w:eastAsia="仿宋_GB2312"/>
          <w:color w:val="auto"/>
          <w:sz w:val="32"/>
          <w:szCs w:val="32"/>
          <w:lang w:eastAsia="zh-CN"/>
        </w:rPr>
        <w:t>和</w:t>
      </w:r>
      <w:r>
        <w:rPr>
          <w:rFonts w:hint="eastAsia" w:ascii="仿宋_GB2312" w:hAnsi="微软雅黑" w:eastAsia="仿宋_GB2312"/>
          <w:color w:val="auto"/>
          <w:sz w:val="32"/>
          <w:szCs w:val="32"/>
        </w:rPr>
        <w:t>处理信息的能力，</w:t>
      </w:r>
      <w:r>
        <w:rPr>
          <w:rFonts w:hint="eastAsia" w:ascii="仿宋_GB2312" w:hAnsi="微软雅黑" w:eastAsia="仿宋_GB2312"/>
          <w:color w:val="auto"/>
          <w:sz w:val="32"/>
          <w:szCs w:val="32"/>
          <w:lang w:eastAsia="zh-CN"/>
        </w:rPr>
        <w:t>确保</w:t>
      </w:r>
      <w:r>
        <w:rPr>
          <w:rFonts w:hint="eastAsia" w:ascii="仿宋_GB2312" w:hAnsi="微软雅黑" w:eastAsia="仿宋_GB2312"/>
          <w:color w:val="auto"/>
          <w:sz w:val="32"/>
          <w:szCs w:val="32"/>
        </w:rPr>
        <w:t>信息质量。</w:t>
      </w:r>
      <w:r>
        <w:rPr>
          <w:rFonts w:hint="eastAsia" w:ascii="仿宋_GB2312" w:hAnsi="微软雅黑" w:eastAsia="仿宋_GB2312"/>
          <w:b/>
          <w:bCs/>
          <w:color w:val="auto"/>
          <w:sz w:val="32"/>
          <w:szCs w:val="32"/>
        </w:rPr>
        <w:t>三是</w:t>
      </w:r>
      <w:r>
        <w:rPr>
          <w:rFonts w:hint="eastAsia" w:ascii="仿宋_GB2312" w:hAnsi="微软雅黑" w:eastAsia="仿宋_GB2312"/>
          <w:color w:val="auto"/>
          <w:sz w:val="32"/>
          <w:szCs w:val="32"/>
        </w:rPr>
        <w:t>严格审核制度，严把审核关，坚持保密工作纪律，做到严谨细致、务实高效，为我旗</w:t>
      </w:r>
      <w:r>
        <w:rPr>
          <w:rFonts w:hint="eastAsia" w:ascii="仿宋_GB2312" w:hAnsi="微软雅黑" w:eastAsia="仿宋_GB2312"/>
          <w:color w:val="auto"/>
          <w:sz w:val="32"/>
          <w:szCs w:val="32"/>
          <w:lang w:eastAsia="zh-CN"/>
        </w:rPr>
        <w:t>住房和</w:t>
      </w:r>
      <w:r>
        <w:rPr>
          <w:rFonts w:hint="eastAsia" w:ascii="仿宋_GB2312" w:hAnsi="微软雅黑" w:eastAsia="仿宋_GB2312"/>
          <w:color w:val="auto"/>
          <w:sz w:val="32"/>
          <w:szCs w:val="32"/>
        </w:rPr>
        <w:t>城乡建设规划事业健康发展提供良好的舆论环境。</w:t>
      </w:r>
    </w:p>
    <w:p>
      <w:pPr>
        <w:pStyle w:val="6"/>
        <w:shd w:val="clear" w:color="auto" w:fill="FFFFFF"/>
        <w:spacing w:before="0" w:beforeAutospacing="0" w:after="0" w:afterAutospacing="0" w:line="560" w:lineRule="exact"/>
        <w:ind w:firstLine="658"/>
        <w:jc w:val="both"/>
        <w:rPr>
          <w:rFonts w:hint="eastAsia" w:ascii="仿宋_GB2312" w:hAnsi="微软雅黑" w:eastAsia="仿宋_GB2312"/>
          <w:color w:val="auto"/>
          <w:sz w:val="32"/>
          <w:szCs w:val="32"/>
        </w:rPr>
      </w:pPr>
    </w:p>
    <w:p>
      <w:pPr>
        <w:pStyle w:val="6"/>
        <w:shd w:val="clear" w:color="auto" w:fill="FFFFFF"/>
        <w:spacing w:before="0" w:beforeAutospacing="0" w:after="0" w:afterAutospacing="0" w:line="560" w:lineRule="exact"/>
        <w:ind w:firstLine="3520" w:firstLineChars="1100"/>
        <w:jc w:val="both"/>
        <w:rPr>
          <w:rFonts w:hint="eastAsia" w:ascii="仿宋_GB2312" w:hAnsi="微软雅黑" w:eastAsia="仿宋_GB2312"/>
          <w:color w:val="auto"/>
          <w:sz w:val="32"/>
          <w:szCs w:val="32"/>
          <w:lang w:eastAsia="zh-CN"/>
        </w:rPr>
      </w:pPr>
      <w:r>
        <w:rPr>
          <w:rFonts w:hint="eastAsia" w:ascii="仿宋_GB2312" w:hAnsi="微软雅黑" w:eastAsia="仿宋_GB2312"/>
          <w:color w:val="auto"/>
          <w:sz w:val="32"/>
          <w:szCs w:val="32"/>
          <w:lang w:eastAsia="zh-CN"/>
        </w:rPr>
        <w:t>鄂温克旗住房和城乡建设规划局</w:t>
      </w:r>
    </w:p>
    <w:p>
      <w:pPr>
        <w:pStyle w:val="6"/>
        <w:shd w:val="clear" w:color="auto" w:fill="FFFFFF"/>
        <w:spacing w:before="0" w:beforeAutospacing="0" w:after="0" w:afterAutospacing="0" w:line="560" w:lineRule="exact"/>
        <w:ind w:firstLine="4480" w:firstLineChars="1400"/>
        <w:jc w:val="both"/>
        <w:rPr>
          <w:rFonts w:hint="eastAsia" w:ascii="仿宋_GB2312" w:hAnsi="微软雅黑" w:eastAsia="仿宋_GB2312"/>
          <w:color w:val="auto"/>
          <w:sz w:val="32"/>
          <w:szCs w:val="32"/>
          <w:lang w:val="en-US" w:eastAsia="zh-CN"/>
        </w:rPr>
      </w:pPr>
      <w:r>
        <w:rPr>
          <w:rFonts w:hint="eastAsia" w:ascii="仿宋_GB2312" w:hAnsi="微软雅黑" w:eastAsia="仿宋_GB2312"/>
          <w:color w:val="auto"/>
          <w:sz w:val="32"/>
          <w:szCs w:val="32"/>
          <w:lang w:val="en-US" w:eastAsia="zh-CN"/>
        </w:rPr>
        <w:t>2018年12月31日</w:t>
      </w:r>
    </w:p>
    <w:sectPr>
      <w:pgSz w:w="11906" w:h="16838"/>
      <w:pgMar w:top="1134" w:right="1247" w:bottom="1134" w:left="1247" w:header="708" w:footer="709" w:gutter="0"/>
      <w:cols w:space="720" w:num="1"/>
      <w:rtlGutter w:val="0"/>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10002FF" w:usb1="4000ACFF" w:usb2="00000009" w:usb3="00000000" w:csb0="2000019F" w:csb1="00000000"/>
  </w:font>
  <w:font w:name="Mongolian Baiti">
    <w:panose1 w:val="03000500000000000000"/>
    <w:charset w:val="00"/>
    <w:family w:val="auto"/>
    <w:pitch w:val="default"/>
    <w:sig w:usb0="80000023" w:usb1="00000000" w:usb2="00020000" w:usb3="00000000" w:csb0="0000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spaceForUL/>
    <w:doNotLeaveBackslashAlone/>
    <w:ulTrailSpace/>
    <w:doNotExpandShiftReturn/>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annotation subject"/>
    <w:lsdException w:qFormat="1" w:uiPriority="99" w:semiHidden="0" w:name="Balloon Text"/>
  </w:latentStyles>
  <w:style w:type="paragraph" w:default="1" w:styleId="1">
    <w:name w:val="Normal"/>
    <w:qFormat/>
    <w:uiPriority w:val="0"/>
    <w:pPr>
      <w:adjustRightInd w:val="0"/>
      <w:snapToGrid w:val="0"/>
      <w:spacing w:after="200" w:line="240" w:lineRule="auto"/>
    </w:pPr>
    <w:rPr>
      <w:rFonts w:ascii="Tahoma" w:hAnsi="Tahoma" w:eastAsia="微软雅黑" w:cs="黑体"/>
      <w:sz w:val="22"/>
      <w:szCs w:val="22"/>
      <w:lang w:val="en-US" w:eastAsia="zh-CN" w:bidi="ar-SA"/>
    </w:rPr>
  </w:style>
  <w:style w:type="paragraph" w:styleId="2">
    <w:name w:val="heading 2"/>
    <w:basedOn w:val="1"/>
    <w:next w:val="1"/>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rPr>
  </w:style>
  <w:style w:type="character" w:default="1" w:styleId="7">
    <w:name w:val="Default Paragraph Font"/>
    <w:unhideWhenUsed/>
    <w:qFormat/>
    <w:uiPriority w:val="1"/>
  </w:style>
  <w:style w:type="paragraph" w:styleId="3">
    <w:name w:val="Balloon Text"/>
    <w:basedOn w:val="1"/>
    <w:link w:val="9"/>
    <w:unhideWhenUsed/>
    <w:qFormat/>
    <w:uiPriority w:val="99"/>
    <w:pPr>
      <w:spacing w:after="0"/>
    </w:pPr>
    <w:rPr>
      <w:sz w:val="18"/>
      <w:szCs w:val="18"/>
    </w:rPr>
  </w:style>
  <w:style w:type="paragraph" w:styleId="4">
    <w:name w:val="footer"/>
    <w:basedOn w:val="1"/>
    <w:link w:val="11"/>
    <w:unhideWhenUsed/>
    <w:qFormat/>
    <w:uiPriority w:val="99"/>
    <w:pPr>
      <w:tabs>
        <w:tab w:val="center" w:pos="4153"/>
        <w:tab w:val="right" w:pos="8306"/>
      </w:tabs>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8">
    <w:name w:val="Strong"/>
    <w:basedOn w:val="7"/>
    <w:qFormat/>
    <w:uiPriority w:val="22"/>
    <w:rPr>
      <w:b/>
    </w:rPr>
  </w:style>
  <w:style w:type="character" w:customStyle="1" w:styleId="9">
    <w:name w:val="批注框文本 Char"/>
    <w:basedOn w:val="7"/>
    <w:link w:val="3"/>
    <w:semiHidden/>
    <w:qFormat/>
    <w:uiPriority w:val="99"/>
    <w:rPr>
      <w:rFonts w:ascii="Tahoma" w:hAnsi="Tahoma"/>
      <w:sz w:val="18"/>
      <w:szCs w:val="18"/>
    </w:rPr>
  </w:style>
  <w:style w:type="character" w:customStyle="1" w:styleId="10">
    <w:name w:val="页眉 Char"/>
    <w:basedOn w:val="7"/>
    <w:link w:val="5"/>
    <w:semiHidden/>
    <w:qFormat/>
    <w:uiPriority w:val="99"/>
    <w:rPr>
      <w:rFonts w:ascii="Tahoma" w:hAnsi="Tahoma"/>
      <w:sz w:val="18"/>
      <w:szCs w:val="18"/>
    </w:rPr>
  </w:style>
  <w:style w:type="character" w:customStyle="1" w:styleId="11">
    <w:name w:val="页脚 Char"/>
    <w:basedOn w:val="7"/>
    <w:link w:val="4"/>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268</Words>
  <Characters>1529</Characters>
  <Lines>12</Lines>
  <Paragraphs>3</Paragraphs>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sana</cp:lastModifiedBy>
  <cp:lastPrinted>2018-12-05T03:11:00Z</cp:lastPrinted>
  <dcterms:modified xsi:type="dcterms:W3CDTF">2018-12-24T02:13:34Z</dcterms:modified>
  <dc:title>2018年住建规划局政府信息公开工作年度报告</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ies>
</file>