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Autospacing="0" w:afterAutospacing="0" w:line="64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lang w:val="en-US" w:eastAsia="zh-CN"/>
        </w:rPr>
        <w:t>鄂温克旗教育局2019年度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Autospacing="0" w:afterAutospacing="0" w:line="64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lang w:val="en-US" w:eastAsia="zh-CN"/>
        </w:rPr>
        <w:t>政府信息公开情况报告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Autospacing="0" w:afterAutospacing="0" w:line="64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lang w:val="en-US" w:eastAsia="zh-CN"/>
        </w:rPr>
      </w:pP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根据《中华人民共和国政府信息公开条例》（以下简称《条例》）有关规定和要求，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鄂温克旗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教育局认真贯彻执行各项政府信息公开规定，现向社会公布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鄂温克旗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教育局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年度政府信息公开工作年度报告。本报告中所列数据统计期限自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年1月1日起至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年12月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日止。联系地址：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鄂温克旗巴彦托海镇教育局办公楼。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联系电话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8812304。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32"/>
          <w:szCs w:val="32"/>
        </w:rPr>
        <w:t>一、概述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4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4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4"/>
          <w:sz w:val="32"/>
          <w:szCs w:val="32"/>
          <w:lang w:eastAsia="zh-CN"/>
        </w:rPr>
        <w:t>全旗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4"/>
          <w:sz w:val="32"/>
          <w:szCs w:val="32"/>
        </w:rPr>
        <w:t>教育系统认真学习宣传贯彻习近平新时代中国特色社会主义思想、党的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十九大精神和习近平总书记在全国教育大会上的重要讲话精神，落实立德树人的根本任务，推进教育领域综合改革，提升学校标准化办学水平，加强学校班子和教师队伍建设，组织开展好各级各类考试招生工作，强化学校综治安全管理，优化教育资源配置，实施阳光招生，促进教育公平，推进课堂教学改革和素质教育发展，提升教育教学质量，办好人民满意的教育，促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鄂温克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教育持续健康发展，为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推进鄂温克旗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建设贡献教育的力量。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年，我局持续做好政府信息公开工作，机构健全，分工明确，确保政府信息公开工作落实到位。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及时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规范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做好有关信息的上传报送工作；做好来信、来访的接访回访工作；加强对业务职能股室的督促检查，认真做好对应的民生投诉、信息咨询等问题的答复办理工作，确保各项目标任务落实到位。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</w:rPr>
        <w:t>二、主动公开政府信息情况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（一）主动公开政府信息数量。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年度，我局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在旗政府政务网站发布公告通知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23件，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主动公开政府信息的数量为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109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件，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近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年来累计主动公开政府信息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297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件。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（二）主动公开政府信息的主要类别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。有四大类：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财务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类信息公开，包括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收支费用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项目、标准、范围，使用批准文号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社会捐赠的款物，社会力量办学有关政策，基建及其他专项补助经费安排情况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实施情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况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等；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招生考试类信息公开，包括各级各类学校招生计划、招生条件、体格检查标准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招生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笔试、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面试，自学考试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有关政策、开考科目、报名办法，招生报名、资格审查、录取新生等；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管理类信息公开，包括促进教育教学各项管理规章制度，教职工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聘任、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培训、评职、评先、奖惩、提拔、任用、调动等办法及考试录取情况；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四是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考核结果类信息公开，包括绩效考评、安全检查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、民办幼儿园年检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结果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、校外培训机构黑白名单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的公示公开。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五是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教育扶贫信息及其他教育民生类信息。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（三）采取形式多样的信息公开。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根据政府信息公开工作具体要求，我局主要采取网络信息发布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、微信公众号发布、公示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栏、公开监督电话、意见箱等多种形式的信息公开方式。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鄂温克旗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政府网教育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发展板块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设立信息公开栏，公开与群众利益关系密切文件和内容，公开的重点主要是办事程序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规定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，公开内容做到定期更新。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公布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责任股室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及监督电话，接受广泛监督。在公开内容同时公开监督电话，自觉接受社会和群众的监督，提高办事效率和工作效率。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充分利用网络信息平台进行政府信息公开。我局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及时将信息发布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政府网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站专项栏目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，并及时报送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档案馆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方便民众查阅，进一步拓宽公开、监督渠道。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  <w:lang w:eastAsia="zh-CN"/>
        </w:rPr>
        <w:t>四是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推进教育均衡工作的相关政策、措施，解读教育均衡方面的政策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，积极答复群众关心的热点问题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  <w:lang w:eastAsia="zh-CN"/>
        </w:rPr>
        <w:t>三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收到和处理政府信息公开申请情况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宋体" w:eastAsia="仿宋_GB2312" w:cs="黑体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没有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收到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政府信息公开申请的情况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638" w:right="0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-8"/>
          <w:sz w:val="32"/>
          <w:szCs w:val="32"/>
          <w:lang w:eastAsia="zh-CN"/>
        </w:rPr>
        <w:t>四、</w:t>
      </w:r>
      <w:r>
        <w:rPr>
          <w:rFonts w:hint="eastAsia" w:ascii="黑体" w:hAnsi="宋体" w:eastAsia="黑体" w:cs="黑体"/>
          <w:i w:val="0"/>
          <w:caps w:val="0"/>
          <w:color w:val="000000"/>
          <w:spacing w:val="-8"/>
          <w:sz w:val="32"/>
          <w:szCs w:val="32"/>
        </w:rPr>
        <w:t>因政府信息公开申请行政复议、提起行政诉讼的情况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没有因政府信息公开申请行政复议、提起行政诉讼的情况。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宋体" w:eastAsia="黑体" w:cs="黑体"/>
          <w:i w:val="0"/>
          <w:caps w:val="0"/>
          <w:color w:val="000000"/>
          <w:spacing w:val="-8"/>
          <w:sz w:val="32"/>
          <w:szCs w:val="32"/>
          <w:lang w:eastAsia="zh-CN"/>
        </w:rPr>
        <w:t>五</w:t>
      </w:r>
      <w:r>
        <w:rPr>
          <w:rFonts w:hint="eastAsia" w:ascii="黑体" w:hAnsi="宋体" w:eastAsia="黑体" w:cs="黑体"/>
          <w:i w:val="0"/>
          <w:caps w:val="0"/>
          <w:color w:val="000000"/>
          <w:spacing w:val="-8"/>
          <w:sz w:val="32"/>
          <w:szCs w:val="32"/>
        </w:rPr>
        <w:t>、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</w:rPr>
        <w:t>政府信息公开工作存在的主要问题及改进建议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鄂温克旗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教育局政府信息公开工作取得了一定的成绩，但也存在不足：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政府信息公开工作组织制度、落实制度及监督考核制度有待进一步完善；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政府信息公开工作规范性有待进一步加强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2019年，我局将按照上级要求，进一步加强政府信息公开工作，力争在规范化、制度化、程序化等方面取得新进展，同时进一步推进公开信息的电子化，做到及时公开，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进一步便民查询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六、其他需要报告的事项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无其他需报告事项</w:t>
      </w:r>
      <w:bookmarkStart w:id="0" w:name="_GoBack"/>
      <w:bookmarkEnd w:id="0"/>
    </w:p>
    <w:p>
      <w:pPr>
        <w:wordWrap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wordWrap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鄂温克族自治旗教育局</w:t>
      </w:r>
    </w:p>
    <w:p>
      <w:pPr>
        <w:wordWrap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2019年12月26日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6E175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ewkjyjbgs03</dc:creator>
  <cp:lastModifiedBy>Ms小歪</cp:lastModifiedBy>
  <dcterms:modified xsi:type="dcterms:W3CDTF">2020-02-24T06:28:30Z</dcterms:modified>
  <dc:title>鄂温克旗教育局2019年度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