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巴彦托海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镇201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政府信息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工作年度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根据《中华人民共和国政府信息公开条例》（以下简称《条例》）和《呼伦贝尔市政府信息公开规定》要求，现公布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巴彦托海镇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年政府信息公开工作年度报告。报告内容包括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总体情况，主动公开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政府信息情况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，收到和处理政府信息公开申请情况，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政府信息公开行政复议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行政诉讼情况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，存在的主要问题及改进情况，其他需要报告的事项。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本年度报告中所列数据统计期限从201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年1月1日到12月31日止。本报告的电子版可在鄂温克旗政府门户网站下载。如对本年度报告有任何疑问，请与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巴彦托海</w:t>
      </w:r>
      <w:r>
        <w:rPr>
          <w:rFonts w:hint="eastAsia" w:ascii="仿宋_GB2312" w:hAnsi="仿宋_GB2312" w:eastAsia="仿宋_GB2312" w:cs="仿宋_GB2312"/>
          <w:sz w:val="32"/>
          <w:szCs w:val="32"/>
        </w:rPr>
        <w:t>镇人民政府办公室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联系（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联系电话0470-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8814644</w:t>
      </w:r>
      <w:r>
        <w:rPr>
          <w:rFonts w:hint="eastAsia" w:ascii="仿宋_GB2312" w:hAnsi="仿宋_GB2312" w:eastAsia="仿宋_GB2312" w:cs="仿宋_GB2312"/>
          <w:sz w:val="32"/>
          <w:szCs w:val="32"/>
        </w:rPr>
        <w:t>，电子邮箱：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"mailto:bayantuohai@163.com)。"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bayantuohai@163.com）。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����" w:eastAsia="仿宋_GB2312" w:cs="仿宋_GB2312"/>
          <w:color w:val="444444"/>
          <w:kern w:val="2"/>
          <w:sz w:val="21"/>
          <w:szCs w:val="21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巴彦托海镇党委、政府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领导对政务公开工作高度重视，认真落实党委领导、政府主抓、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党政办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组织协调的工作机制，部署工作任务，加强组织调度，指导工作开展。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按照上级要求，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调整了政务公开工作领导小组，成立了以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镇党委副书记、镇长乔杰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同志为组长，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副镇长何冬伟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、其木格同志</w:t>
      </w:r>
      <w:r>
        <w:rPr>
          <w:rFonts w:hint="eastAsia" w:ascii="仿宋_GB2312" w:hAnsi="仿宋_GB2312" w:eastAsia="仿宋_GB2312" w:cs="仿宋_GB2312"/>
          <w:sz w:val="32"/>
          <w:szCs w:val="32"/>
        </w:rPr>
        <w:t>为副组长，相关单位负责人为成员的政务公开工作领导小组，明确指定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镇党政办</w:t>
      </w:r>
      <w:r>
        <w:rPr>
          <w:rFonts w:hint="eastAsia" w:ascii="仿宋_GB2312" w:hAnsi="仿宋_GB2312" w:eastAsia="仿宋_GB2312" w:cs="仿宋_GB2312"/>
          <w:sz w:val="32"/>
          <w:szCs w:val="32"/>
        </w:rPr>
        <w:t>具体负责全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政务公开工作，落实政务公开的各项要求，做好牵头协调和监督检查。并配备了专职工作人员一名，负责日常工作。并制定了《201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巴彦托海镇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政务公开工作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，全面推进政务公开工作的系列部署，着力推进政务公开制度化规范化、不断增强政务公开实效。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主动公开政府信息情况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（一）持续完善政务公开制度。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《条例》和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鄂温克旗</w:t>
      </w:r>
      <w:r>
        <w:rPr>
          <w:rFonts w:hint="eastAsia" w:ascii="仿宋_GB2312" w:hAnsi="仿宋_GB2312" w:eastAsia="仿宋_GB2312" w:cs="仿宋_GB2312"/>
          <w:sz w:val="32"/>
          <w:szCs w:val="32"/>
        </w:rPr>
        <w:t>政务公开有关文件要求，我镇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及时完善《巴彦托海镇政务公开制度》，《制度》中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明确了我镇政务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的工作内容、形式和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公开目录等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。所有政府工作都要以公开为原则、不公开为例外，除涉及国家秘密、商业秘密和个人隐私的事项，一律向社会公开。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严格遵循政务公开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要求，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把政务公开作为政府施政的基本准则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让权力在阳光下运行，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依法推进政务信息公开，完善政务公开工作社会评议制度、政务公开工作责任追究制度等制度，切实保障群众的知情权、参与权、表达权、监督权，加强群众监督，提高我镇依法行政和政务服务水平。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（二）不断</w:t>
      </w:r>
      <w:r>
        <w:rPr>
          <w:rFonts w:hint="eastAsia" w:ascii="楷体_GB2312" w:hAnsi="楷体_GB2312" w:eastAsia="楷体_GB2312" w:cs="楷体_GB2312"/>
          <w:sz w:val="32"/>
          <w:szCs w:val="32"/>
        </w:rPr>
        <w:t>加强政策解读工作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落实政策文件与解读材料同步起草、同步审签、同步发布的要求。制定出台涉及公共利益、公众权益的政策文件时，必须同步确定政策解读和宣传推广方式，确保政策执行阳光透明。采用图解、在线问答等形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对群众最关心的、最息息相关的政策进行解读，全年共发布图文解读1篇，问答3篇，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将解读更加形象化、通俗化，让群众听得懂、好理解。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积极回应社会关切。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巴彦托海镇党政领导十分</w:t>
      </w:r>
      <w:r>
        <w:rPr>
          <w:rFonts w:hint="eastAsia" w:ascii="仿宋_GB2312" w:hAnsi="仿宋_GB2312" w:eastAsia="仿宋_GB2312" w:cs="仿宋_GB2312"/>
          <w:sz w:val="32"/>
          <w:szCs w:val="32"/>
        </w:rPr>
        <w:t>注重发挥政务公开在回应社会关切中的作用，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致力于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健全政务舆情收集、研判、处置和回应“闭环”工作机制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努力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增强回应的针对性，保持正确的舆论导向，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协调涉事部门及时发布回应信息。制定了舆情处置预案，主动与宣传、网信等相关部门联系沟通，健全完善重大政务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舆情信息共享。2019年我镇共进行舆情回应2次，分别对政府门户网站领导信箱信件、沿河路段举报信息作出了书面回复，切实解决了群众所反应的问题，得到了群众的认可和好评。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）加强政务公开平台建设。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我镇严格按照《条例》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和旗政务公开中心要求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，及时准确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向群众公开政务信息，力争做到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公开、公正、便民。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近几年我镇不断加强政务公开平台建设，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2019年我镇4个嘎查、3个社区均创建微信公众号，实现政务信息公开全覆盖。我镇政务公开信息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鄂温克旗政务网站、巴彦托海之窗微信公众号及各嘎查、社区公众号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形式</w:t>
      </w:r>
      <w:r>
        <w:rPr>
          <w:rFonts w:hint="eastAsia" w:ascii="仿宋_GB2312" w:hAnsi="仿宋_GB2312" w:eastAsia="仿宋_GB2312" w:cs="仿宋_GB2312"/>
          <w:sz w:val="32"/>
          <w:szCs w:val="32"/>
        </w:rPr>
        <w:t>发布公开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政务服务便民窗口、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规章制度、政策宣传及各类工作开展信息、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三务公开情况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等，同时通过人大建议办理网站向人大代表答复建议办理情况，并向提案人电话咨询答复意见满意情况。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推进民生实事项目执行公开。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16"/>
          <w:shd w:val="clear" w:color="auto" w:fill="FFFFFF"/>
          <w:lang w:val="en-US" w:eastAsia="zh-CN"/>
        </w:rPr>
        <w:t>2019年，巴彦托海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16"/>
          <w:shd w:val="clear" w:color="auto" w:fill="FFFFFF"/>
        </w:rPr>
        <w:t>镇被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自治区和市两级人大常委会列为“票决制”试点苏木镇以来，</w:t>
      </w:r>
      <w:r>
        <w:rPr>
          <w:rFonts w:hint="eastAsia" w:ascii="仿宋_GB2312" w:hAnsi="����" w:eastAsia="仿宋_GB2312" w:cs="仿宋_GB2312"/>
          <w:color w:val="444444"/>
          <w:kern w:val="2"/>
          <w:sz w:val="32"/>
          <w:szCs w:val="32"/>
          <w:lang w:val="en-US" w:eastAsia="zh-CN" w:bidi="ar"/>
        </w:rPr>
        <w:t>民生项目实施初见成效。镇人大和政府通过座谈会、问卷调查、个别访谈等方式，广泛征集候选项目。通过征求社会各界意见，摸排征集到14个建议项目，在此基础上，召开党政联席会专门研究，筛选出3个项目，作为我镇2019年民生实事候选项目。经公示后，现均已实施开展，为振兴嘎查集体经济，带动嘎查经济发展做出了突出贡献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1"/>
        <w:gridCol w:w="1845"/>
        <w:gridCol w:w="1470"/>
        <w:gridCol w:w="1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第二十条第（一）项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信息内容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本年新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制作数量</w:t>
            </w:r>
          </w:p>
        </w:tc>
        <w:tc>
          <w:tcPr>
            <w:tcW w:w="14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本年新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公开数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量</w:t>
            </w:r>
          </w:p>
        </w:tc>
        <w:tc>
          <w:tcPr>
            <w:tcW w:w="190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对外公开总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规章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4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规范性文件</w:t>
            </w:r>
          </w:p>
        </w:tc>
        <w:tc>
          <w:tcPr>
            <w:tcW w:w="184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47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tabs>
                <w:tab w:val="left" w:pos="3598"/>
              </w:tabs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第二十条第（五）项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信息内容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上一年项目数量</w:t>
            </w:r>
          </w:p>
        </w:tc>
        <w:tc>
          <w:tcPr>
            <w:tcW w:w="14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本年增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/减数</w:t>
            </w:r>
          </w:p>
        </w:tc>
        <w:tc>
          <w:tcPr>
            <w:tcW w:w="190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处理决定数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行政许可</w:t>
            </w:r>
          </w:p>
        </w:tc>
        <w:tc>
          <w:tcPr>
            <w:tcW w:w="184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47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其他对外管理服务事项</w:t>
            </w:r>
          </w:p>
        </w:tc>
        <w:tc>
          <w:tcPr>
            <w:tcW w:w="184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47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第二十条第（六）项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信息内容</w:t>
            </w:r>
          </w:p>
        </w:tc>
        <w:tc>
          <w:tcPr>
            <w:tcW w:w="184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上一年项目数量</w:t>
            </w:r>
          </w:p>
        </w:tc>
        <w:tc>
          <w:tcPr>
            <w:tcW w:w="1470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本年增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/减数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处理决定数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行政处罚</w:t>
            </w:r>
          </w:p>
        </w:tc>
        <w:tc>
          <w:tcPr>
            <w:tcW w:w="184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47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行政强制</w:t>
            </w:r>
          </w:p>
        </w:tc>
        <w:tc>
          <w:tcPr>
            <w:tcW w:w="184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47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第二十条第（八）项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信息内容</w:t>
            </w:r>
          </w:p>
        </w:tc>
        <w:tc>
          <w:tcPr>
            <w:tcW w:w="3315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上一年项目数量</w:t>
            </w:r>
          </w:p>
        </w:tc>
        <w:tc>
          <w:tcPr>
            <w:tcW w:w="1906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本年增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/减数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行政事业性收费</w:t>
            </w:r>
          </w:p>
        </w:tc>
        <w:tc>
          <w:tcPr>
            <w:tcW w:w="3315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  <w:tc>
          <w:tcPr>
            <w:tcW w:w="190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第二十条第（九）项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信息内容</w:t>
            </w:r>
          </w:p>
        </w:tc>
        <w:tc>
          <w:tcPr>
            <w:tcW w:w="3315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采购项目数量</w:t>
            </w:r>
          </w:p>
        </w:tc>
        <w:tc>
          <w:tcPr>
            <w:tcW w:w="190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采购总金额（元）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eastAsia="zh-CN"/>
              </w:rPr>
              <w:t>政府集中采购</w:t>
            </w:r>
          </w:p>
        </w:tc>
        <w:tc>
          <w:tcPr>
            <w:tcW w:w="3315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5</w:t>
            </w:r>
          </w:p>
        </w:tc>
        <w:tc>
          <w:tcPr>
            <w:tcW w:w="190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464016</w:t>
            </w: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收到和处理政府信息公开申请情况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巴彦托海镇2019年未收到政府信息公开的申请。</w:t>
      </w:r>
    </w:p>
    <w:p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政府信息公开行政复议、行政诉讼情况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巴彦托海镇2019年未收到政府信息公开行政复议及行政诉讼。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kern w:val="2"/>
          <w:sz w:val="32"/>
          <w:szCs w:val="32"/>
        </w:rPr>
        <w:t>、存在的主要问题及改进措施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当前，在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党委、政府的坚强领导下，我镇政务公开工作正有序开展并取得了一定成绩。但仍然存在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政务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公开的内容不够深，公开的内容不全面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不规范等问题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而且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有关工作人员对政务公开工作认识不足，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存在工作盲点和误区，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在推动政务公开工作方面缺乏动力和积极性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在以后的工作中我镇将从以下方面进行整改：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继续建立和完善政务信息公开工作制度，狠抓制度的执行和落实。尤其要抓好各项工作的部署落实和年度考核，落实目标责任制，建立和完善政务信息公开工作机制，促进政务信息工作走上制度化、规范化的健康发展轨道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进一步提高各部门和单位领导对政务公开工作的思想认识，强调新形势下政府信息公开工作的重要性，扎实做好政府信息公开工作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进一步拓展和丰富政府信息公开的渠道和载体，强化各类政府信息网络公开，让不同层次的群众通过不同渠道获取政府信息，充分发挥政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公开工作的桥梁和纽带作用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四是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结合政务公开管理工作的需求，利用多种形式，积极开展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政务公开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培训和再教育工作，逐步提高政务信息工作者的政治素质、业务素质和理论水平，为政务信息工作的顺利开展打下坚实的基础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五是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进一步扩大政务信息公开范围，及时更新公开内容。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其他需要报告的事项</w:t>
      </w:r>
    </w:p>
    <w:p>
      <w:pPr>
        <w:pStyle w:val="7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暂无其他需要报告的事项。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魏碑简体">
    <w:panose1 w:val="02000000000000000000"/>
    <w:charset w:val="86"/>
    <w:family w:val="auto"/>
    <w:pitch w:val="default"/>
    <w:sig w:usb0="A00002BF" w:usb1="194F6CFA" w:usb2="00000012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710A56"/>
    <w:multiLevelType w:val="singleLevel"/>
    <w:tmpl w:val="F2710A5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181FB9"/>
    <w:multiLevelType w:val="singleLevel"/>
    <w:tmpl w:val="5E181FB9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6303B"/>
    <w:rsid w:val="00EB56DF"/>
    <w:rsid w:val="0BA53287"/>
    <w:rsid w:val="0CFF1C00"/>
    <w:rsid w:val="0D52314A"/>
    <w:rsid w:val="0F057405"/>
    <w:rsid w:val="0F450CD3"/>
    <w:rsid w:val="117A3C3C"/>
    <w:rsid w:val="14746594"/>
    <w:rsid w:val="14A75CC4"/>
    <w:rsid w:val="17365ECC"/>
    <w:rsid w:val="17626792"/>
    <w:rsid w:val="1D0B65A1"/>
    <w:rsid w:val="1D8207B7"/>
    <w:rsid w:val="1DE65499"/>
    <w:rsid w:val="1EA309B7"/>
    <w:rsid w:val="201578A1"/>
    <w:rsid w:val="25860ECA"/>
    <w:rsid w:val="25A61090"/>
    <w:rsid w:val="2D1B39DE"/>
    <w:rsid w:val="2DAF7E80"/>
    <w:rsid w:val="2F9A1F4C"/>
    <w:rsid w:val="31E92EE0"/>
    <w:rsid w:val="33313373"/>
    <w:rsid w:val="345A36D0"/>
    <w:rsid w:val="356027B9"/>
    <w:rsid w:val="36AA798A"/>
    <w:rsid w:val="36FE198D"/>
    <w:rsid w:val="3906303B"/>
    <w:rsid w:val="3DC814E9"/>
    <w:rsid w:val="438E0355"/>
    <w:rsid w:val="438F5ABF"/>
    <w:rsid w:val="43F21892"/>
    <w:rsid w:val="48C230D9"/>
    <w:rsid w:val="49E72A8B"/>
    <w:rsid w:val="49F13585"/>
    <w:rsid w:val="49FE3356"/>
    <w:rsid w:val="4A0A548A"/>
    <w:rsid w:val="50702321"/>
    <w:rsid w:val="5213107B"/>
    <w:rsid w:val="525D4E1B"/>
    <w:rsid w:val="52840647"/>
    <w:rsid w:val="5334161C"/>
    <w:rsid w:val="53C82651"/>
    <w:rsid w:val="5A176B41"/>
    <w:rsid w:val="5D2F31BE"/>
    <w:rsid w:val="5D967E89"/>
    <w:rsid w:val="5E4A169E"/>
    <w:rsid w:val="61EE7DFA"/>
    <w:rsid w:val="66E565AE"/>
    <w:rsid w:val="6B7533A3"/>
    <w:rsid w:val="70666BC8"/>
    <w:rsid w:val="71FD6946"/>
    <w:rsid w:val="7739477D"/>
    <w:rsid w:val="778E6C1C"/>
    <w:rsid w:val="77EB7777"/>
    <w:rsid w:val="78490066"/>
    <w:rsid w:val="7BED4BFD"/>
    <w:rsid w:val="7CCD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2019-12-30T02:03:00Z</dcterms:created>
  <dc:creator>Administrator</dc:creator>
  <cp:lastModifiedBy>Administrator</cp:lastModifiedBy>
  <dcterms:modified xsi:type="dcterms:W3CDTF">2020-01-10T06:51:27Z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